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35355C">
        <w:rPr>
          <w:b/>
          <w:sz w:val="28"/>
          <w:szCs w:val="28"/>
        </w:rPr>
        <w:t>де</w:t>
      </w:r>
      <w:r w:rsidR="00207B49">
        <w:rPr>
          <w:b/>
          <w:sz w:val="28"/>
          <w:szCs w:val="28"/>
        </w:rPr>
        <w:t>с</w:t>
      </w:r>
      <w:r w:rsidR="0035355C">
        <w:rPr>
          <w:b/>
          <w:sz w:val="28"/>
          <w:szCs w:val="28"/>
        </w:rPr>
        <w:t>ят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35355C">
        <w:rPr>
          <w:sz w:val="28"/>
          <w:szCs w:val="28"/>
        </w:rPr>
        <w:t>де</w:t>
      </w:r>
      <w:r w:rsidR="00207B49">
        <w:rPr>
          <w:sz w:val="28"/>
          <w:szCs w:val="28"/>
        </w:rPr>
        <w:t>с</w:t>
      </w:r>
      <w:r w:rsidR="0035355C">
        <w:rPr>
          <w:sz w:val="28"/>
          <w:szCs w:val="28"/>
        </w:rPr>
        <w:t>ят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35355C">
        <w:rPr>
          <w:sz w:val="28"/>
          <w:szCs w:val="28"/>
        </w:rPr>
        <w:t>2</w:t>
      </w:r>
      <w:r w:rsidR="00207B49">
        <w:rPr>
          <w:sz w:val="28"/>
          <w:szCs w:val="28"/>
        </w:rPr>
        <w:t>72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207B49">
        <w:rPr>
          <w:sz w:val="28"/>
          <w:szCs w:val="28"/>
        </w:rPr>
        <w:t>305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207B49">
        <w:rPr>
          <w:sz w:val="28"/>
          <w:szCs w:val="28"/>
        </w:rPr>
        <w:t>10,8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697C17">
        <w:rPr>
          <w:sz w:val="28"/>
          <w:szCs w:val="28"/>
        </w:rPr>
        <w:t>305</w:t>
      </w:r>
      <w:r w:rsidRPr="00CF5435">
        <w:rPr>
          <w:sz w:val="28"/>
          <w:szCs w:val="28"/>
        </w:rPr>
        <w:t xml:space="preserve"> (</w:t>
      </w:r>
      <w:r w:rsidR="00697C17">
        <w:rPr>
          <w:sz w:val="28"/>
          <w:szCs w:val="28"/>
        </w:rPr>
        <w:t>319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697C17">
        <w:rPr>
          <w:sz w:val="28"/>
          <w:szCs w:val="28"/>
        </w:rPr>
        <w:t>4</w:t>
      </w:r>
      <w:r w:rsidR="00A90111">
        <w:rPr>
          <w:sz w:val="28"/>
          <w:szCs w:val="28"/>
        </w:rPr>
        <w:t>,</w:t>
      </w:r>
      <w:r w:rsidR="00697C17">
        <w:rPr>
          <w:sz w:val="28"/>
          <w:szCs w:val="28"/>
        </w:rPr>
        <w:t>4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697C17">
        <w:rPr>
          <w:sz w:val="28"/>
          <w:szCs w:val="28"/>
        </w:rPr>
        <w:t>детей</w:t>
      </w:r>
      <w:r w:rsidRPr="00CF5435">
        <w:rPr>
          <w:sz w:val="28"/>
          <w:szCs w:val="28"/>
        </w:rPr>
        <w:t xml:space="preserve"> получил</w:t>
      </w:r>
      <w:r w:rsidR="00697C17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</w:t>
      </w:r>
      <w:r w:rsidR="0035355C">
        <w:rPr>
          <w:sz w:val="28"/>
          <w:szCs w:val="28"/>
        </w:rPr>
        <w:t>2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697C17">
        <w:rPr>
          <w:sz w:val="28"/>
          <w:szCs w:val="28"/>
        </w:rPr>
        <w:t>21</w:t>
      </w:r>
      <w:r w:rsidR="008D205A" w:rsidRPr="00CF5435">
        <w:rPr>
          <w:sz w:val="28"/>
          <w:szCs w:val="28"/>
        </w:rPr>
        <w:t>; -</w:t>
      </w:r>
      <w:r w:rsidR="00697C17">
        <w:rPr>
          <w:sz w:val="28"/>
          <w:szCs w:val="28"/>
        </w:rPr>
        <w:t>42</w:t>
      </w:r>
      <w:r w:rsidR="00080944">
        <w:rPr>
          <w:sz w:val="28"/>
          <w:szCs w:val="28"/>
        </w:rPr>
        <w:t>,</w:t>
      </w:r>
      <w:r w:rsidR="00697C17">
        <w:rPr>
          <w:sz w:val="28"/>
          <w:szCs w:val="28"/>
        </w:rPr>
        <w:t>9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881898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</w:t>
      </w:r>
      <w:r w:rsidRPr="00881898">
        <w:rPr>
          <w:color w:val="000000" w:themeColor="text1"/>
          <w:sz w:val="28"/>
          <w:szCs w:val="28"/>
        </w:rPr>
        <w:t xml:space="preserve">результате которых пострадали дети, составили </w:t>
      </w:r>
      <w:r w:rsidR="002B6166" w:rsidRPr="00881898">
        <w:rPr>
          <w:color w:val="000000" w:themeColor="text1"/>
          <w:sz w:val="28"/>
          <w:szCs w:val="28"/>
        </w:rPr>
        <w:t>1</w:t>
      </w:r>
      <w:r w:rsidR="007737C0" w:rsidRPr="00881898">
        <w:rPr>
          <w:color w:val="000000" w:themeColor="text1"/>
          <w:sz w:val="28"/>
          <w:szCs w:val="28"/>
        </w:rPr>
        <w:t>3</w:t>
      </w:r>
      <w:r w:rsidRPr="00881898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881898">
        <w:rPr>
          <w:color w:val="000000" w:themeColor="text1"/>
          <w:sz w:val="28"/>
          <w:szCs w:val="28"/>
        </w:rPr>
        <w:t xml:space="preserve"> Таким образом</w:t>
      </w:r>
      <w:r w:rsidR="005C79F7" w:rsidRPr="00881898">
        <w:rPr>
          <w:color w:val="000000" w:themeColor="text1"/>
          <w:sz w:val="28"/>
          <w:szCs w:val="28"/>
        </w:rPr>
        <w:t>, в регионе</w:t>
      </w:r>
      <w:r w:rsidR="00552425" w:rsidRPr="00881898">
        <w:rPr>
          <w:color w:val="000000" w:themeColor="text1"/>
          <w:sz w:val="28"/>
          <w:szCs w:val="28"/>
        </w:rPr>
        <w:t xml:space="preserve"> дети стали участниками каждого </w:t>
      </w:r>
      <w:r w:rsidR="00C1146C" w:rsidRPr="00881898">
        <w:rPr>
          <w:color w:val="000000" w:themeColor="text1"/>
          <w:sz w:val="28"/>
          <w:szCs w:val="28"/>
        </w:rPr>
        <w:t>8</w:t>
      </w:r>
      <w:r w:rsidR="00552425" w:rsidRPr="00881898">
        <w:rPr>
          <w:color w:val="000000" w:themeColor="text1"/>
          <w:sz w:val="28"/>
          <w:szCs w:val="28"/>
        </w:rPr>
        <w:t xml:space="preserve"> ДТП с пострадавшими.</w:t>
      </w:r>
    </w:p>
    <w:p w:rsidR="00A845D8" w:rsidRPr="00B71660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>, Талице</w:t>
      </w:r>
      <w:r w:rsidR="00B71660" w:rsidRPr="00B71660">
        <w:rPr>
          <w:sz w:val="28"/>
          <w:szCs w:val="28"/>
        </w:rPr>
        <w:t>, 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(-66,7%)</w:t>
      </w:r>
      <w:r w:rsidR="007B229B" w:rsidRPr="00B71660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lastRenderedPageBreak/>
        <w:t>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</w:t>
      </w:r>
      <w:r w:rsidR="005831C6" w:rsidRPr="00925DFA">
        <w:rPr>
          <w:i/>
          <w:sz w:val="27"/>
          <w:szCs w:val="27"/>
        </w:rPr>
        <w:lastRenderedPageBreak/>
        <w:t xml:space="preserve">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Сидельниково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>26 июля около 13 часов на 17-м км автодороги «с. Прокопьевская Салда - с. Пия» Верхотурского района (зона обслуживания ОГИБДД МО МВД России «Новолялинский»)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Установлено, что водитель и две пассажирки автомобиля ВАЗ не были пристегнуты ремнями безопасности. 12-летняя девочка сидела на заднем </w:t>
      </w:r>
      <w:r w:rsidRPr="00421AF6">
        <w:rPr>
          <w:i/>
          <w:sz w:val="27"/>
          <w:szCs w:val="27"/>
        </w:rPr>
        <w:lastRenderedPageBreak/>
        <w:t>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302B42">
        <w:rPr>
          <w:i/>
          <w:sz w:val="27"/>
          <w:szCs w:val="27"/>
        </w:rPr>
        <w:t>16 сентября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FF7109" w:rsidRPr="00302B42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3C61" w:rsidRPr="00F45AF5" w:rsidRDefault="00E23C61" w:rsidP="007548A7">
      <w:pPr>
        <w:ind w:left="-709" w:firstLine="709"/>
        <w:jc w:val="both"/>
        <w:rPr>
          <w:color w:val="FF0000"/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E831F7">
        <w:rPr>
          <w:sz w:val="28"/>
          <w:szCs w:val="28"/>
        </w:rPr>
        <w:t>0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</w:t>
      </w:r>
      <w:r w:rsidRPr="00F45AF5">
        <w:rPr>
          <w:sz w:val="28"/>
          <w:szCs w:val="28"/>
        </w:rPr>
        <w:t>рост аварийности с участием несовершеннолетних. На</w:t>
      </w:r>
      <w:r w:rsidR="00F45AF5" w:rsidRPr="00F45AF5">
        <w:rPr>
          <w:sz w:val="28"/>
          <w:szCs w:val="28"/>
        </w:rPr>
        <w:t xml:space="preserve"> 300%</w:t>
      </w:r>
      <w:r w:rsidRPr="00F45AF5">
        <w:rPr>
          <w:sz w:val="28"/>
          <w:szCs w:val="28"/>
        </w:rPr>
        <w:t xml:space="preserve"> </w:t>
      </w:r>
      <w:r w:rsidR="00F45AF5" w:rsidRPr="00F45AF5">
        <w:rPr>
          <w:sz w:val="28"/>
          <w:szCs w:val="28"/>
        </w:rPr>
        <w:t xml:space="preserve">увеличилось количество ДТП в Артемовском районе (4 ДТП); на </w:t>
      </w:r>
      <w:r w:rsidR="00E831F7" w:rsidRPr="00F45AF5">
        <w:rPr>
          <w:sz w:val="28"/>
          <w:szCs w:val="28"/>
        </w:rPr>
        <w:t>200% в Невьянском и Талицком районах (по 3 ДТП); на 14</w:t>
      </w:r>
      <w:r w:rsidRPr="00F45AF5">
        <w:rPr>
          <w:sz w:val="28"/>
          <w:szCs w:val="28"/>
        </w:rPr>
        <w:t>0% в Сысертском районе (</w:t>
      </w:r>
      <w:r w:rsidR="007B229B" w:rsidRPr="00F45AF5">
        <w:rPr>
          <w:sz w:val="28"/>
          <w:szCs w:val="28"/>
        </w:rPr>
        <w:t>1</w:t>
      </w:r>
      <w:r w:rsidR="00AE105A" w:rsidRPr="00F45AF5">
        <w:rPr>
          <w:sz w:val="28"/>
          <w:szCs w:val="28"/>
        </w:rPr>
        <w:t>2</w:t>
      </w:r>
      <w:r w:rsidRPr="00F45AF5">
        <w:rPr>
          <w:sz w:val="28"/>
          <w:szCs w:val="28"/>
        </w:rPr>
        <w:t xml:space="preserve"> ДТП);</w:t>
      </w:r>
      <w:r w:rsidR="00154CE5" w:rsidRPr="00F45AF5">
        <w:rPr>
          <w:sz w:val="28"/>
          <w:szCs w:val="28"/>
        </w:rPr>
        <w:t xml:space="preserve"> </w:t>
      </w:r>
      <w:r w:rsidRPr="00F45AF5">
        <w:rPr>
          <w:sz w:val="28"/>
          <w:szCs w:val="28"/>
        </w:rPr>
        <w:t>на 100% в Алапаевском</w:t>
      </w:r>
      <w:r w:rsidR="00F45AF5" w:rsidRPr="00F45AF5">
        <w:rPr>
          <w:sz w:val="28"/>
          <w:szCs w:val="28"/>
        </w:rPr>
        <w:t xml:space="preserve">, Кушвинском </w:t>
      </w:r>
      <w:r w:rsidR="000B493B" w:rsidRPr="00F45AF5">
        <w:rPr>
          <w:sz w:val="28"/>
          <w:szCs w:val="28"/>
        </w:rPr>
        <w:t>(</w:t>
      </w:r>
      <w:r w:rsidR="007F38E4" w:rsidRPr="00F45AF5">
        <w:rPr>
          <w:sz w:val="28"/>
          <w:szCs w:val="28"/>
        </w:rPr>
        <w:t>по 4</w:t>
      </w:r>
      <w:r w:rsidR="000B493B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,</w:t>
      </w:r>
      <w:r w:rsidR="007B229B" w:rsidRPr="00F45AF5">
        <w:rPr>
          <w:sz w:val="28"/>
          <w:szCs w:val="28"/>
        </w:rPr>
        <w:t xml:space="preserve"> </w:t>
      </w:r>
      <w:r w:rsidR="00154CE5" w:rsidRPr="00F45AF5">
        <w:rPr>
          <w:sz w:val="28"/>
          <w:szCs w:val="28"/>
        </w:rPr>
        <w:t>Тугулымском</w:t>
      </w:r>
      <w:r w:rsidRPr="00F45AF5">
        <w:rPr>
          <w:sz w:val="28"/>
          <w:szCs w:val="28"/>
        </w:rPr>
        <w:t xml:space="preserve"> районах (по 2 ДТП)</w:t>
      </w:r>
      <w:r w:rsidR="002C1FA2" w:rsidRPr="00F45AF5">
        <w:rPr>
          <w:sz w:val="28"/>
          <w:szCs w:val="28"/>
        </w:rPr>
        <w:t xml:space="preserve"> и</w:t>
      </w:r>
      <w:r w:rsidRPr="00F45AF5">
        <w:rPr>
          <w:sz w:val="28"/>
          <w:szCs w:val="28"/>
        </w:rPr>
        <w:t xml:space="preserve"> </w:t>
      </w:r>
      <w:r w:rsidR="002C1FA2" w:rsidRPr="00F45AF5">
        <w:rPr>
          <w:sz w:val="28"/>
          <w:szCs w:val="28"/>
        </w:rPr>
        <w:t>Асбесте (</w:t>
      </w:r>
      <w:r w:rsidRPr="00F45AF5">
        <w:rPr>
          <w:sz w:val="28"/>
          <w:szCs w:val="28"/>
        </w:rPr>
        <w:t>1 ДТП)</w:t>
      </w:r>
      <w:r w:rsidR="00B77332" w:rsidRPr="00F45AF5">
        <w:rPr>
          <w:sz w:val="28"/>
          <w:szCs w:val="28"/>
        </w:rPr>
        <w:t xml:space="preserve">; </w:t>
      </w:r>
      <w:r w:rsidR="002C1FA2" w:rsidRPr="00F45AF5">
        <w:rPr>
          <w:sz w:val="28"/>
          <w:szCs w:val="28"/>
        </w:rPr>
        <w:t xml:space="preserve">на </w:t>
      </w:r>
      <w:r w:rsidR="00F45AF5" w:rsidRPr="00F45AF5">
        <w:rPr>
          <w:sz w:val="28"/>
          <w:szCs w:val="28"/>
        </w:rPr>
        <w:t>35</w:t>
      </w:r>
      <w:r w:rsidR="002C1FA2" w:rsidRPr="00F45AF5">
        <w:rPr>
          <w:sz w:val="28"/>
          <w:szCs w:val="28"/>
        </w:rPr>
        <w:t xml:space="preserve">% </w:t>
      </w:r>
      <w:r w:rsidR="00F45AF5" w:rsidRPr="00F45AF5">
        <w:rPr>
          <w:sz w:val="28"/>
          <w:szCs w:val="28"/>
        </w:rPr>
        <w:t>в Каменске-Уральском (19 ДТП)</w:t>
      </w:r>
      <w:r w:rsidR="007F38E4" w:rsidRPr="00F45AF5">
        <w:rPr>
          <w:sz w:val="28"/>
          <w:szCs w:val="28"/>
        </w:rPr>
        <w:t xml:space="preserve"> и </w:t>
      </w:r>
      <w:r w:rsidR="00B77332" w:rsidRPr="00F45AF5">
        <w:rPr>
          <w:sz w:val="28"/>
          <w:szCs w:val="28"/>
        </w:rPr>
        <w:t xml:space="preserve">на </w:t>
      </w:r>
      <w:r w:rsidR="00F45AF5" w:rsidRPr="00F45AF5">
        <w:rPr>
          <w:sz w:val="28"/>
          <w:szCs w:val="28"/>
        </w:rPr>
        <w:t>16</w:t>
      </w:r>
      <w:r w:rsidR="00B77332" w:rsidRPr="00F45AF5">
        <w:rPr>
          <w:sz w:val="28"/>
          <w:szCs w:val="28"/>
        </w:rPr>
        <w:t xml:space="preserve">% в </w:t>
      </w:r>
      <w:r w:rsidR="002C1FA2" w:rsidRPr="00F45AF5">
        <w:rPr>
          <w:sz w:val="28"/>
          <w:szCs w:val="28"/>
        </w:rPr>
        <w:t>Нижнем Тагиле</w:t>
      </w:r>
      <w:r w:rsidR="00B77332" w:rsidRPr="00F45AF5">
        <w:rPr>
          <w:sz w:val="28"/>
          <w:szCs w:val="28"/>
        </w:rPr>
        <w:t xml:space="preserve"> (</w:t>
      </w:r>
      <w:r w:rsidR="002C1FA2" w:rsidRPr="00F45AF5">
        <w:rPr>
          <w:sz w:val="28"/>
          <w:szCs w:val="28"/>
        </w:rPr>
        <w:t>2</w:t>
      </w:r>
      <w:r w:rsidR="00F45AF5" w:rsidRPr="00F45AF5">
        <w:rPr>
          <w:sz w:val="28"/>
          <w:szCs w:val="28"/>
        </w:rPr>
        <w:t>9</w:t>
      </w:r>
      <w:r w:rsidR="00B77332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9120FB" w:rsidRDefault="005714C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120FB">
        <w:rPr>
          <w:color w:val="000000" w:themeColor="text1"/>
          <w:sz w:val="28"/>
          <w:szCs w:val="28"/>
        </w:rPr>
        <w:t>4</w:t>
      </w:r>
      <w:r w:rsidR="0036111F" w:rsidRPr="009120FB">
        <w:rPr>
          <w:color w:val="000000" w:themeColor="text1"/>
          <w:sz w:val="28"/>
          <w:szCs w:val="28"/>
        </w:rPr>
        <w:t>7</w:t>
      </w:r>
      <w:r w:rsidR="00E252EF" w:rsidRPr="009120FB">
        <w:rPr>
          <w:color w:val="000000" w:themeColor="text1"/>
          <w:sz w:val="28"/>
          <w:szCs w:val="28"/>
        </w:rPr>
        <w:t>% (</w:t>
      </w:r>
      <w:r w:rsidR="0036111F" w:rsidRPr="009120FB">
        <w:rPr>
          <w:color w:val="000000" w:themeColor="text1"/>
          <w:sz w:val="28"/>
          <w:szCs w:val="28"/>
        </w:rPr>
        <w:t>1</w:t>
      </w:r>
      <w:r w:rsidR="009120FB" w:rsidRPr="009120FB">
        <w:rPr>
          <w:color w:val="000000" w:themeColor="text1"/>
          <w:sz w:val="28"/>
          <w:szCs w:val="28"/>
        </w:rPr>
        <w:t>49</w:t>
      </w:r>
      <w:r w:rsidR="00E252EF" w:rsidRPr="009120FB">
        <w:rPr>
          <w:color w:val="000000" w:themeColor="text1"/>
          <w:sz w:val="28"/>
          <w:szCs w:val="28"/>
        </w:rPr>
        <w:t>)</w:t>
      </w:r>
      <w:r w:rsidR="00F859E5" w:rsidRPr="009120FB">
        <w:rPr>
          <w:color w:val="000000" w:themeColor="text1"/>
          <w:sz w:val="28"/>
          <w:szCs w:val="28"/>
        </w:rPr>
        <w:t xml:space="preserve"> пострадавших и погибших в ДТП детей приходится</w:t>
      </w:r>
      <w:r w:rsidR="00E252EF" w:rsidRPr="009120FB">
        <w:rPr>
          <w:color w:val="000000" w:themeColor="text1"/>
          <w:sz w:val="28"/>
          <w:szCs w:val="28"/>
        </w:rPr>
        <w:t xml:space="preserve"> на</w:t>
      </w:r>
      <w:r w:rsidR="00EA0CFA" w:rsidRPr="009120FB">
        <w:rPr>
          <w:color w:val="000000" w:themeColor="text1"/>
          <w:sz w:val="28"/>
          <w:szCs w:val="28"/>
        </w:rPr>
        <w:t xml:space="preserve"> среднее школьное звено</w:t>
      </w:r>
      <w:r w:rsidR="00F859E5" w:rsidRPr="009120FB">
        <w:rPr>
          <w:color w:val="000000" w:themeColor="text1"/>
          <w:sz w:val="28"/>
          <w:szCs w:val="28"/>
        </w:rPr>
        <w:t>,</w:t>
      </w:r>
      <w:r w:rsidR="00E252EF" w:rsidRPr="009120FB">
        <w:rPr>
          <w:color w:val="000000" w:themeColor="text1"/>
          <w:sz w:val="28"/>
          <w:szCs w:val="28"/>
        </w:rPr>
        <w:t xml:space="preserve"> </w:t>
      </w:r>
      <w:r w:rsidR="0036111F" w:rsidRPr="009120FB">
        <w:rPr>
          <w:color w:val="000000" w:themeColor="text1"/>
          <w:sz w:val="28"/>
          <w:szCs w:val="28"/>
        </w:rPr>
        <w:t>32</w:t>
      </w:r>
      <w:r w:rsidR="00F859E5" w:rsidRPr="009120FB">
        <w:rPr>
          <w:color w:val="000000" w:themeColor="text1"/>
          <w:sz w:val="28"/>
          <w:szCs w:val="28"/>
        </w:rPr>
        <w:t>% (</w:t>
      </w:r>
      <w:r w:rsidR="009120FB" w:rsidRPr="009120FB">
        <w:rPr>
          <w:color w:val="000000" w:themeColor="text1"/>
          <w:sz w:val="28"/>
          <w:szCs w:val="28"/>
        </w:rPr>
        <w:t>103</w:t>
      </w:r>
      <w:r w:rsidR="00F859E5" w:rsidRPr="009120FB">
        <w:rPr>
          <w:color w:val="000000" w:themeColor="text1"/>
          <w:sz w:val="28"/>
          <w:szCs w:val="28"/>
        </w:rPr>
        <w:t xml:space="preserve">) </w:t>
      </w:r>
      <w:r w:rsidR="00062C4C" w:rsidRPr="009120FB">
        <w:rPr>
          <w:color w:val="000000" w:themeColor="text1"/>
          <w:sz w:val="28"/>
          <w:szCs w:val="28"/>
        </w:rPr>
        <w:t xml:space="preserve">на начальную школу </w:t>
      </w:r>
      <w:r w:rsidR="000511E8" w:rsidRPr="009120FB">
        <w:rPr>
          <w:color w:val="000000" w:themeColor="text1"/>
          <w:sz w:val="28"/>
          <w:szCs w:val="28"/>
        </w:rPr>
        <w:t xml:space="preserve">и </w:t>
      </w:r>
      <w:r w:rsidR="00A77B69" w:rsidRPr="009120FB">
        <w:rPr>
          <w:color w:val="000000" w:themeColor="text1"/>
          <w:sz w:val="28"/>
          <w:szCs w:val="28"/>
        </w:rPr>
        <w:t>2</w:t>
      </w:r>
      <w:r w:rsidR="0036111F" w:rsidRPr="009120FB">
        <w:rPr>
          <w:color w:val="000000" w:themeColor="text1"/>
          <w:sz w:val="28"/>
          <w:szCs w:val="28"/>
        </w:rPr>
        <w:t>1</w:t>
      </w:r>
      <w:r w:rsidR="000511E8" w:rsidRPr="009120FB">
        <w:rPr>
          <w:color w:val="000000" w:themeColor="text1"/>
          <w:sz w:val="28"/>
          <w:szCs w:val="28"/>
        </w:rPr>
        <w:t>% (</w:t>
      </w:r>
      <w:r w:rsidR="009120FB" w:rsidRPr="009120FB">
        <w:rPr>
          <w:color w:val="000000" w:themeColor="text1"/>
          <w:sz w:val="28"/>
          <w:szCs w:val="28"/>
        </w:rPr>
        <w:t>65</w:t>
      </w:r>
      <w:r w:rsidR="000511E8" w:rsidRPr="009120FB">
        <w:rPr>
          <w:color w:val="000000" w:themeColor="text1"/>
          <w:sz w:val="28"/>
          <w:szCs w:val="28"/>
        </w:rPr>
        <w:t xml:space="preserve">) </w:t>
      </w:r>
      <w:r w:rsidR="00062C4C" w:rsidRPr="009120FB">
        <w:rPr>
          <w:color w:val="000000" w:themeColor="text1"/>
          <w:sz w:val="28"/>
          <w:szCs w:val="28"/>
        </w:rPr>
        <w:t>на дошкольный возраст</w:t>
      </w:r>
      <w:r w:rsidR="007F49F0" w:rsidRPr="009120FB">
        <w:rPr>
          <w:color w:val="000000" w:themeColor="text1"/>
          <w:sz w:val="28"/>
          <w:szCs w:val="28"/>
        </w:rPr>
        <w:t>, при этом большая часть пострадали и погибли в качестве пассажиров транспортных средств.</w:t>
      </w:r>
    </w:p>
    <w:p w:rsidR="00277C2A" w:rsidRPr="00F45AF5" w:rsidRDefault="00277C2A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36111F">
        <w:rPr>
          <w:noProof/>
          <w:color w:val="FF0000"/>
          <w:sz w:val="28"/>
          <w:szCs w:val="28"/>
          <w:highlight w:val="yellow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</w:t>
      </w:r>
      <w:r w:rsidR="009120FB">
        <w:rPr>
          <w:color w:val="000000" w:themeColor="text1"/>
          <w:sz w:val="28"/>
          <w:szCs w:val="28"/>
        </w:rPr>
        <w:t>4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</w:t>
      </w:r>
      <w:r w:rsidR="009120FB">
        <w:rPr>
          <w:color w:val="000000" w:themeColor="text1"/>
          <w:sz w:val="28"/>
          <w:szCs w:val="28"/>
        </w:rPr>
        <w:t>95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790795">
        <w:rPr>
          <w:color w:val="000000" w:themeColor="text1"/>
          <w:sz w:val="28"/>
          <w:szCs w:val="28"/>
        </w:rPr>
        <w:t>7</w:t>
      </w:r>
      <w:r w:rsidRPr="005F67FF">
        <w:rPr>
          <w:color w:val="000000" w:themeColor="text1"/>
          <w:sz w:val="28"/>
          <w:szCs w:val="28"/>
        </w:rPr>
        <w:t>% (</w:t>
      </w:r>
      <w:r w:rsidR="00790795">
        <w:rPr>
          <w:color w:val="000000" w:themeColor="text1"/>
          <w:sz w:val="28"/>
          <w:szCs w:val="28"/>
        </w:rPr>
        <w:t>2</w:t>
      </w:r>
      <w:r w:rsidR="009120FB">
        <w:rPr>
          <w:color w:val="000000" w:themeColor="text1"/>
          <w:sz w:val="28"/>
          <w:szCs w:val="28"/>
        </w:rPr>
        <w:t>27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9120FB">
        <w:rPr>
          <w:color w:val="000000" w:themeColor="text1"/>
          <w:sz w:val="28"/>
          <w:szCs w:val="28"/>
        </w:rPr>
        <w:t>25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</w:t>
      </w:r>
      <w:r w:rsidR="00790795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FF7109" w:rsidRPr="005F67FF" w:rsidRDefault="00FF710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FF4D97" w:rsidRDefault="006F262E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9D52C0" w:rsidRPr="00FF4D97">
        <w:rPr>
          <w:sz w:val="28"/>
          <w:szCs w:val="28"/>
        </w:rPr>
        <w:t>% (</w:t>
      </w:r>
      <w:r w:rsidR="00820451" w:rsidRPr="00FF4D97">
        <w:rPr>
          <w:sz w:val="28"/>
          <w:szCs w:val="28"/>
        </w:rPr>
        <w:t>1</w:t>
      </w:r>
      <w:r>
        <w:rPr>
          <w:sz w:val="28"/>
          <w:szCs w:val="28"/>
        </w:rPr>
        <w:t>78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 w:rsidR="00FF4D97" w:rsidRPr="00FF4D97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9D52C0" w:rsidRPr="00FF4D97">
        <w:rPr>
          <w:sz w:val="28"/>
          <w:szCs w:val="28"/>
        </w:rPr>
        <w:t>% (</w:t>
      </w:r>
      <w:r>
        <w:rPr>
          <w:sz w:val="28"/>
          <w:szCs w:val="28"/>
        </w:rPr>
        <w:t>9</w:t>
      </w:r>
      <w:r w:rsidR="004A4987">
        <w:rPr>
          <w:sz w:val="28"/>
          <w:szCs w:val="28"/>
        </w:rPr>
        <w:t>4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1A0140" w:rsidRDefault="00003B3D" w:rsidP="00E252EF">
      <w:pPr>
        <w:ind w:left="-709" w:firstLine="567"/>
        <w:jc w:val="both"/>
        <w:rPr>
          <w:color w:val="FF0000"/>
          <w:sz w:val="28"/>
          <w:szCs w:val="28"/>
        </w:rPr>
      </w:pPr>
      <w:r w:rsidRPr="004A4987">
        <w:rPr>
          <w:color w:val="000000" w:themeColor="text1"/>
          <w:sz w:val="28"/>
          <w:szCs w:val="28"/>
        </w:rPr>
        <w:t>5</w:t>
      </w:r>
      <w:r w:rsidR="004A4987" w:rsidRPr="004A4987">
        <w:rPr>
          <w:color w:val="000000" w:themeColor="text1"/>
          <w:sz w:val="28"/>
          <w:szCs w:val="28"/>
        </w:rPr>
        <w:t>5</w:t>
      </w:r>
      <w:r w:rsidR="00E252EF" w:rsidRPr="004A4987">
        <w:rPr>
          <w:color w:val="000000" w:themeColor="text1"/>
          <w:sz w:val="28"/>
          <w:szCs w:val="28"/>
        </w:rPr>
        <w:t>% (</w:t>
      </w:r>
      <w:r w:rsidR="004A4987" w:rsidRPr="004A4987">
        <w:rPr>
          <w:color w:val="000000" w:themeColor="text1"/>
          <w:sz w:val="28"/>
          <w:szCs w:val="28"/>
        </w:rPr>
        <w:t>147</w:t>
      </w:r>
      <w:r w:rsidR="00E252EF" w:rsidRPr="004A4987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E252EF" w:rsidRPr="004A4987">
        <w:rPr>
          <w:color w:val="000000" w:themeColor="text1"/>
          <w:sz w:val="28"/>
          <w:szCs w:val="28"/>
        </w:rPr>
        <w:br/>
        <w:t xml:space="preserve">в период </w:t>
      </w:r>
      <w:r w:rsidR="001F63BE" w:rsidRPr="004A4987">
        <w:rPr>
          <w:color w:val="000000" w:themeColor="text1"/>
          <w:sz w:val="28"/>
          <w:szCs w:val="28"/>
        </w:rPr>
        <w:t xml:space="preserve">с 15 до </w:t>
      </w:r>
      <w:r w:rsidR="004A4987" w:rsidRPr="004A4987">
        <w:rPr>
          <w:color w:val="000000" w:themeColor="text1"/>
          <w:sz w:val="28"/>
          <w:szCs w:val="28"/>
        </w:rPr>
        <w:t>21</w:t>
      </w:r>
      <w:r w:rsidR="001F63BE" w:rsidRPr="004A4987">
        <w:rPr>
          <w:color w:val="000000" w:themeColor="text1"/>
          <w:sz w:val="28"/>
          <w:szCs w:val="28"/>
        </w:rPr>
        <w:t xml:space="preserve"> ч. (</w:t>
      </w:r>
      <w:r w:rsidR="004A4987" w:rsidRPr="004A4987">
        <w:rPr>
          <w:color w:val="000000" w:themeColor="text1"/>
          <w:sz w:val="28"/>
          <w:szCs w:val="28"/>
        </w:rPr>
        <w:t>7</w:t>
      </w:r>
      <w:r w:rsidR="001F63BE" w:rsidRPr="004A4987">
        <w:rPr>
          <w:color w:val="000000" w:themeColor="text1"/>
          <w:sz w:val="28"/>
          <w:szCs w:val="28"/>
        </w:rPr>
        <w:t xml:space="preserve"> погибли, 1</w:t>
      </w:r>
      <w:r w:rsidR="004A4987" w:rsidRPr="004A4987">
        <w:rPr>
          <w:color w:val="000000" w:themeColor="text1"/>
          <w:sz w:val="28"/>
          <w:szCs w:val="28"/>
        </w:rPr>
        <w:t>64 ранены)</w:t>
      </w:r>
      <w:r w:rsidR="00AB3606" w:rsidRPr="004A4987">
        <w:rPr>
          <w:color w:val="000000" w:themeColor="text1"/>
          <w:sz w:val="28"/>
          <w:szCs w:val="28"/>
        </w:rPr>
        <w:t>,</w:t>
      </w:r>
      <w:r w:rsidR="00820451" w:rsidRPr="004A4987">
        <w:rPr>
          <w:color w:val="000000" w:themeColor="text1"/>
          <w:sz w:val="28"/>
          <w:szCs w:val="28"/>
        </w:rPr>
        <w:t xml:space="preserve"> </w:t>
      </w:r>
      <w:r w:rsidR="00E252EF" w:rsidRPr="004A4987">
        <w:rPr>
          <w:color w:val="000000" w:themeColor="text1"/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4A4987">
        <w:rPr>
          <w:color w:val="000000" w:themeColor="text1"/>
          <w:sz w:val="28"/>
          <w:szCs w:val="28"/>
        </w:rPr>
        <w:t>це и интенсивностью транспорта.</w:t>
      </w:r>
      <w:r w:rsidR="00984BBA" w:rsidRPr="004A4987">
        <w:rPr>
          <w:color w:val="000000" w:themeColor="text1"/>
          <w:sz w:val="28"/>
          <w:szCs w:val="28"/>
        </w:rPr>
        <w:t xml:space="preserve"> При этом пик ДТП приходит на период с 18 до 19 ч. (</w:t>
      </w:r>
      <w:r w:rsidR="004A4987" w:rsidRPr="004A4987">
        <w:rPr>
          <w:color w:val="000000" w:themeColor="text1"/>
          <w:sz w:val="28"/>
          <w:szCs w:val="28"/>
        </w:rPr>
        <w:t>34</w:t>
      </w:r>
      <w:r w:rsidR="00984BBA" w:rsidRPr="004A4987">
        <w:rPr>
          <w:color w:val="000000" w:themeColor="text1"/>
          <w:sz w:val="28"/>
          <w:szCs w:val="28"/>
        </w:rPr>
        <w:t xml:space="preserve"> ДТП, 1 погиб, 3</w:t>
      </w:r>
      <w:r w:rsidR="004A4987" w:rsidRPr="004A4987">
        <w:rPr>
          <w:color w:val="000000" w:themeColor="text1"/>
          <w:sz w:val="28"/>
          <w:szCs w:val="28"/>
        </w:rPr>
        <w:t>9</w:t>
      </w:r>
      <w:r w:rsidR="00984BBA" w:rsidRPr="004A4987">
        <w:rPr>
          <w:color w:val="000000" w:themeColor="text1"/>
          <w:sz w:val="28"/>
          <w:szCs w:val="28"/>
        </w:rPr>
        <w:t xml:space="preserve"> ранены).</w:t>
      </w:r>
      <w:r w:rsidR="00AB3606" w:rsidRPr="004A4987">
        <w:rPr>
          <w:color w:val="000000" w:themeColor="text1"/>
          <w:sz w:val="28"/>
          <w:szCs w:val="28"/>
        </w:rPr>
        <w:t xml:space="preserve"> 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632E9135" wp14:editId="0C859505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1CA24DB" wp14:editId="12F4B01E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B7040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B7040B">
        <w:rPr>
          <w:sz w:val="28"/>
          <w:szCs w:val="28"/>
        </w:rPr>
        <w:t>220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</w:t>
      </w:r>
      <w:r w:rsidR="00B7040B">
        <w:rPr>
          <w:sz w:val="28"/>
          <w:szCs w:val="28"/>
        </w:rPr>
        <w:t>3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095059">
        <w:rPr>
          <w:sz w:val="28"/>
          <w:szCs w:val="28"/>
        </w:rPr>
        <w:t>2</w:t>
      </w:r>
      <w:r w:rsidR="00B7040B">
        <w:rPr>
          <w:sz w:val="28"/>
          <w:szCs w:val="28"/>
        </w:rPr>
        <w:t>40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B7040B">
        <w:rPr>
          <w:sz w:val="28"/>
          <w:szCs w:val="28"/>
        </w:rPr>
        <w:t>8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095059">
        <w:rPr>
          <w:sz w:val="28"/>
          <w:szCs w:val="28"/>
        </w:rPr>
        <w:t>3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B7040B">
        <w:rPr>
          <w:sz w:val="28"/>
          <w:szCs w:val="28"/>
        </w:rPr>
        <w:t>72</w:t>
      </w:r>
      <w:r w:rsidR="00095059">
        <w:rPr>
          <w:sz w:val="28"/>
          <w:szCs w:val="28"/>
        </w:rPr>
        <w:t>,7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CC1350">
        <w:rPr>
          <w:color w:val="000000" w:themeColor="text1"/>
          <w:sz w:val="28"/>
          <w:szCs w:val="28"/>
        </w:rPr>
        <w:t>При этом у</w:t>
      </w:r>
      <w:r w:rsidRPr="00CC1350">
        <w:rPr>
          <w:color w:val="000000" w:themeColor="text1"/>
          <w:sz w:val="28"/>
          <w:szCs w:val="28"/>
        </w:rPr>
        <w:t xml:space="preserve">величение количества ДТП произошло </w:t>
      </w:r>
      <w:r w:rsidR="001A2680" w:rsidRPr="00CC1350">
        <w:rPr>
          <w:color w:val="000000" w:themeColor="text1"/>
          <w:sz w:val="28"/>
          <w:szCs w:val="28"/>
        </w:rPr>
        <w:t>на</w:t>
      </w:r>
      <w:r w:rsidR="00BA1466" w:rsidRPr="00CC1350">
        <w:rPr>
          <w:color w:val="000000" w:themeColor="text1"/>
          <w:sz w:val="28"/>
          <w:szCs w:val="28"/>
        </w:rPr>
        <w:t xml:space="preserve"> </w:t>
      </w:r>
      <w:r w:rsidR="00B7040B" w:rsidRPr="00CC1350">
        <w:rPr>
          <w:color w:val="000000" w:themeColor="text1"/>
          <w:sz w:val="28"/>
          <w:szCs w:val="28"/>
        </w:rPr>
        <w:t>2</w:t>
      </w:r>
      <w:r w:rsidR="00BA1466" w:rsidRPr="00CC1350">
        <w:rPr>
          <w:color w:val="000000" w:themeColor="text1"/>
          <w:sz w:val="28"/>
          <w:szCs w:val="28"/>
        </w:rPr>
        <w:t>00% в</w:t>
      </w:r>
      <w:r w:rsidR="00B7040B" w:rsidRPr="00CC1350">
        <w:rPr>
          <w:color w:val="000000" w:themeColor="text1"/>
          <w:sz w:val="28"/>
          <w:szCs w:val="28"/>
        </w:rPr>
        <w:t xml:space="preserve"> Богдановичском</w:t>
      </w:r>
      <w:r w:rsidR="00CC1350" w:rsidRPr="00CC1350">
        <w:rPr>
          <w:color w:val="000000" w:themeColor="text1"/>
          <w:sz w:val="28"/>
          <w:szCs w:val="28"/>
        </w:rPr>
        <w:t xml:space="preserve"> районе (3 ДТП), на 100% в </w:t>
      </w:r>
      <w:r w:rsidR="00BA1466" w:rsidRPr="00CC1350">
        <w:rPr>
          <w:color w:val="000000" w:themeColor="text1"/>
          <w:sz w:val="28"/>
          <w:szCs w:val="28"/>
        </w:rPr>
        <w:t>Сысертском районе</w:t>
      </w:r>
      <w:r w:rsidR="00095059" w:rsidRPr="00CC1350">
        <w:rPr>
          <w:color w:val="000000" w:themeColor="text1"/>
          <w:sz w:val="28"/>
          <w:szCs w:val="28"/>
        </w:rPr>
        <w:t xml:space="preserve"> (8 ДТП)</w:t>
      </w:r>
      <w:r w:rsidR="00BA1466" w:rsidRPr="00CC1350">
        <w:rPr>
          <w:color w:val="000000" w:themeColor="text1"/>
          <w:sz w:val="28"/>
          <w:szCs w:val="28"/>
        </w:rPr>
        <w:t xml:space="preserve">, </w:t>
      </w:r>
      <w:r w:rsidR="001A2680" w:rsidRPr="00CC1350">
        <w:rPr>
          <w:color w:val="000000" w:themeColor="text1"/>
          <w:sz w:val="28"/>
          <w:szCs w:val="28"/>
        </w:rPr>
        <w:t>в</w:t>
      </w:r>
      <w:r w:rsidR="00BA1466" w:rsidRPr="00CC1350">
        <w:rPr>
          <w:color w:val="000000" w:themeColor="text1"/>
          <w:sz w:val="28"/>
          <w:szCs w:val="28"/>
        </w:rPr>
        <w:t xml:space="preserve"> Алапаевске и</w:t>
      </w:r>
      <w:r w:rsidR="001A2680" w:rsidRPr="00CC1350">
        <w:rPr>
          <w:color w:val="000000" w:themeColor="text1"/>
          <w:sz w:val="28"/>
          <w:szCs w:val="28"/>
        </w:rPr>
        <w:t xml:space="preserve"> </w:t>
      </w:r>
      <w:r w:rsidR="009B3273" w:rsidRPr="00CC1350">
        <w:rPr>
          <w:color w:val="000000" w:themeColor="text1"/>
          <w:sz w:val="28"/>
          <w:szCs w:val="28"/>
        </w:rPr>
        <w:t>Невьянске (</w:t>
      </w:r>
      <w:r w:rsidR="00BA1466" w:rsidRPr="00CC1350">
        <w:rPr>
          <w:color w:val="000000" w:themeColor="text1"/>
          <w:sz w:val="28"/>
          <w:szCs w:val="28"/>
        </w:rPr>
        <w:t xml:space="preserve">по </w:t>
      </w:r>
      <w:r w:rsidR="009B3273" w:rsidRPr="00CC1350">
        <w:rPr>
          <w:color w:val="000000" w:themeColor="text1"/>
          <w:sz w:val="28"/>
          <w:szCs w:val="28"/>
        </w:rPr>
        <w:t>3 ДТП),</w:t>
      </w:r>
      <w:r w:rsidR="00117D9A" w:rsidRPr="00CC1350">
        <w:rPr>
          <w:color w:val="000000" w:themeColor="text1"/>
          <w:sz w:val="28"/>
          <w:szCs w:val="28"/>
        </w:rPr>
        <w:t xml:space="preserve"> </w:t>
      </w:r>
      <w:r w:rsidR="009B3273" w:rsidRPr="00CC1350">
        <w:rPr>
          <w:color w:val="000000" w:themeColor="text1"/>
          <w:sz w:val="28"/>
          <w:szCs w:val="28"/>
        </w:rPr>
        <w:t>Артемовском,</w:t>
      </w:r>
      <w:r w:rsidR="00FB252C" w:rsidRPr="00CC1350">
        <w:rPr>
          <w:color w:val="000000" w:themeColor="text1"/>
          <w:sz w:val="28"/>
          <w:szCs w:val="28"/>
        </w:rPr>
        <w:t xml:space="preserve"> </w:t>
      </w:r>
      <w:r w:rsidR="00BA1466" w:rsidRPr="00CC1350">
        <w:rPr>
          <w:color w:val="000000" w:themeColor="text1"/>
          <w:sz w:val="28"/>
          <w:szCs w:val="28"/>
        </w:rPr>
        <w:t xml:space="preserve">Ачитском и Красноуфимском районах </w:t>
      </w:r>
      <w:r w:rsidR="00A05D29" w:rsidRPr="00CC1350">
        <w:rPr>
          <w:color w:val="000000" w:themeColor="text1"/>
          <w:sz w:val="28"/>
          <w:szCs w:val="28"/>
        </w:rPr>
        <w:t xml:space="preserve">(по 2 ДТП), </w:t>
      </w:r>
      <w:r w:rsidR="009B3273" w:rsidRPr="00CC1350">
        <w:rPr>
          <w:color w:val="000000" w:themeColor="text1"/>
          <w:sz w:val="28"/>
          <w:szCs w:val="28"/>
        </w:rPr>
        <w:t xml:space="preserve">Асбесте, </w:t>
      </w:r>
      <w:r w:rsidR="00E90580" w:rsidRPr="00CC1350">
        <w:rPr>
          <w:color w:val="000000" w:themeColor="text1"/>
          <w:sz w:val="28"/>
          <w:szCs w:val="28"/>
        </w:rPr>
        <w:t>Гаринском</w:t>
      </w:r>
      <w:r w:rsidR="00A05D29" w:rsidRPr="00CC1350">
        <w:rPr>
          <w:color w:val="000000" w:themeColor="text1"/>
          <w:sz w:val="28"/>
          <w:szCs w:val="28"/>
        </w:rPr>
        <w:t xml:space="preserve"> районе</w:t>
      </w:r>
      <w:r w:rsidR="00E90580" w:rsidRPr="00CC1350">
        <w:rPr>
          <w:color w:val="000000" w:themeColor="text1"/>
          <w:sz w:val="28"/>
          <w:szCs w:val="28"/>
        </w:rPr>
        <w:t xml:space="preserve"> (Серов)</w:t>
      </w:r>
      <w:r w:rsidR="001A2680" w:rsidRPr="00CC1350">
        <w:rPr>
          <w:color w:val="000000" w:themeColor="text1"/>
          <w:sz w:val="28"/>
          <w:szCs w:val="28"/>
        </w:rPr>
        <w:t>,</w:t>
      </w:r>
      <w:r w:rsidR="00BA1466" w:rsidRPr="00CC1350">
        <w:rPr>
          <w:color w:val="000000" w:themeColor="text1"/>
          <w:sz w:val="28"/>
          <w:szCs w:val="28"/>
        </w:rPr>
        <w:t xml:space="preserve"> Нижней Салде и </w:t>
      </w:r>
      <w:r w:rsidR="00E90580" w:rsidRPr="00CC1350">
        <w:rPr>
          <w:color w:val="000000" w:themeColor="text1"/>
          <w:sz w:val="28"/>
          <w:szCs w:val="28"/>
        </w:rPr>
        <w:t>Тавде</w:t>
      </w:r>
      <w:r w:rsidR="00CD195E" w:rsidRPr="00CC1350">
        <w:rPr>
          <w:color w:val="000000" w:themeColor="text1"/>
          <w:sz w:val="28"/>
          <w:szCs w:val="28"/>
        </w:rPr>
        <w:t xml:space="preserve"> </w:t>
      </w:r>
      <w:r w:rsidR="00A05D29" w:rsidRPr="00CC1350">
        <w:rPr>
          <w:color w:val="000000" w:themeColor="text1"/>
          <w:sz w:val="28"/>
          <w:szCs w:val="28"/>
        </w:rPr>
        <w:t>(</w:t>
      </w:r>
      <w:r w:rsidR="00117D9A" w:rsidRPr="00CC1350">
        <w:rPr>
          <w:color w:val="000000" w:themeColor="text1"/>
          <w:sz w:val="28"/>
          <w:szCs w:val="28"/>
        </w:rPr>
        <w:t>по 1</w:t>
      </w:r>
      <w:r w:rsidR="003C07A4" w:rsidRPr="00CC1350">
        <w:rPr>
          <w:color w:val="000000" w:themeColor="text1"/>
          <w:sz w:val="28"/>
          <w:szCs w:val="28"/>
        </w:rPr>
        <w:t xml:space="preserve"> ДТП</w:t>
      </w:r>
      <w:r w:rsidR="00A05D29" w:rsidRPr="00CC1350">
        <w:rPr>
          <w:color w:val="000000" w:themeColor="text1"/>
          <w:sz w:val="28"/>
          <w:szCs w:val="28"/>
        </w:rPr>
        <w:t>)</w:t>
      </w:r>
      <w:r w:rsidR="00095059" w:rsidRPr="00CC1350">
        <w:rPr>
          <w:color w:val="000000" w:themeColor="text1"/>
          <w:sz w:val="28"/>
          <w:szCs w:val="28"/>
        </w:rPr>
        <w:t xml:space="preserve">, </w:t>
      </w:r>
      <w:r w:rsidR="00CC1350" w:rsidRPr="00CC1350">
        <w:rPr>
          <w:color w:val="000000" w:themeColor="text1"/>
          <w:sz w:val="28"/>
          <w:szCs w:val="28"/>
        </w:rPr>
        <w:t xml:space="preserve">на 66,7% в Белоярском районе (5 ДТП), </w:t>
      </w:r>
      <w:r w:rsidR="00095059" w:rsidRPr="00CC1350">
        <w:rPr>
          <w:color w:val="000000" w:themeColor="text1"/>
          <w:sz w:val="28"/>
          <w:szCs w:val="28"/>
        </w:rPr>
        <w:t>на 50% в Кировграде (3 ДТП),</w:t>
      </w:r>
      <w:r w:rsidR="00CC1350">
        <w:rPr>
          <w:color w:val="000000" w:themeColor="text1"/>
          <w:sz w:val="28"/>
          <w:szCs w:val="28"/>
        </w:rPr>
        <w:t xml:space="preserve"> </w:t>
      </w:r>
      <w:r w:rsidR="00CC1350" w:rsidRPr="00CC1350">
        <w:rPr>
          <w:color w:val="000000" w:themeColor="text1"/>
          <w:sz w:val="28"/>
          <w:szCs w:val="28"/>
        </w:rPr>
        <w:t xml:space="preserve">на </w:t>
      </w:r>
      <w:r w:rsidR="00CC1350">
        <w:rPr>
          <w:color w:val="000000" w:themeColor="text1"/>
          <w:sz w:val="28"/>
          <w:szCs w:val="28"/>
        </w:rPr>
        <w:t>10</w:t>
      </w:r>
      <w:r w:rsidR="00CC1350" w:rsidRPr="00CC1350">
        <w:rPr>
          <w:color w:val="000000" w:themeColor="text1"/>
          <w:sz w:val="28"/>
          <w:szCs w:val="28"/>
        </w:rPr>
        <w:t xml:space="preserve">% </w:t>
      </w:r>
      <w:r w:rsidR="00CC1350">
        <w:rPr>
          <w:color w:val="000000" w:themeColor="text1"/>
          <w:sz w:val="28"/>
          <w:szCs w:val="28"/>
        </w:rPr>
        <w:t>в Каменске-Уральском,</w:t>
      </w:r>
      <w:r w:rsidR="00095059" w:rsidRPr="00CC1350">
        <w:rPr>
          <w:color w:val="000000" w:themeColor="text1"/>
          <w:sz w:val="28"/>
          <w:szCs w:val="28"/>
        </w:rPr>
        <w:t xml:space="preserve"> н</w:t>
      </w:r>
      <w:r w:rsidR="00BA1466" w:rsidRPr="00CC1350">
        <w:rPr>
          <w:color w:val="000000" w:themeColor="text1"/>
          <w:sz w:val="28"/>
          <w:szCs w:val="28"/>
        </w:rPr>
        <w:t xml:space="preserve">а </w:t>
      </w:r>
      <w:r w:rsidR="00CC1350" w:rsidRPr="00CC1350">
        <w:rPr>
          <w:color w:val="000000" w:themeColor="text1"/>
          <w:sz w:val="28"/>
          <w:szCs w:val="28"/>
        </w:rPr>
        <w:t>5</w:t>
      </w:r>
      <w:r w:rsidR="00BA1466" w:rsidRPr="00CC1350">
        <w:rPr>
          <w:color w:val="000000" w:themeColor="text1"/>
          <w:sz w:val="28"/>
          <w:szCs w:val="28"/>
        </w:rPr>
        <w:t xml:space="preserve">,3% в </w:t>
      </w:r>
      <w:r w:rsidR="00CC1350" w:rsidRPr="00CC1350">
        <w:rPr>
          <w:color w:val="000000" w:themeColor="text1"/>
          <w:sz w:val="28"/>
          <w:szCs w:val="28"/>
        </w:rPr>
        <w:t>Нижнем Тагиле</w:t>
      </w:r>
      <w:r w:rsidR="00BA1466" w:rsidRPr="00CC1350">
        <w:rPr>
          <w:color w:val="000000" w:themeColor="text1"/>
          <w:sz w:val="28"/>
          <w:szCs w:val="28"/>
        </w:rPr>
        <w:t xml:space="preserve"> (</w:t>
      </w:r>
      <w:r w:rsidR="00CC1350" w:rsidRPr="00CC1350">
        <w:rPr>
          <w:color w:val="000000" w:themeColor="text1"/>
          <w:sz w:val="28"/>
          <w:szCs w:val="28"/>
        </w:rPr>
        <w:t>20</w:t>
      </w:r>
      <w:r w:rsidR="00BA1466" w:rsidRPr="00CC1350">
        <w:rPr>
          <w:color w:val="000000" w:themeColor="text1"/>
          <w:sz w:val="28"/>
          <w:szCs w:val="28"/>
        </w:rPr>
        <w:t xml:space="preserve"> ДТП).</w:t>
      </w:r>
      <w:r w:rsidRPr="00CC1350">
        <w:rPr>
          <w:color w:val="000000" w:themeColor="text1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95059" w:rsidRPr="00CC1350">
        <w:rPr>
          <w:color w:val="000000" w:themeColor="text1"/>
          <w:sz w:val="28"/>
          <w:szCs w:val="28"/>
        </w:rPr>
        <w:t>5</w:t>
      </w:r>
      <w:r w:rsidR="00CC1350" w:rsidRPr="00CC1350">
        <w:rPr>
          <w:color w:val="000000" w:themeColor="text1"/>
          <w:sz w:val="28"/>
          <w:szCs w:val="28"/>
        </w:rPr>
        <w:t>2</w:t>
      </w:r>
      <w:r w:rsidRPr="00CC1350">
        <w:rPr>
          <w:color w:val="000000" w:themeColor="text1"/>
          <w:sz w:val="28"/>
          <w:szCs w:val="28"/>
        </w:rPr>
        <w:t xml:space="preserve"> ДТП (</w:t>
      </w:r>
      <w:r w:rsidR="00CC1350" w:rsidRPr="00CC1350">
        <w:rPr>
          <w:color w:val="000000" w:themeColor="text1"/>
          <w:sz w:val="28"/>
          <w:szCs w:val="28"/>
        </w:rPr>
        <w:t>-2</w:t>
      </w:r>
      <w:r w:rsidRPr="00CC1350">
        <w:rPr>
          <w:color w:val="000000" w:themeColor="text1"/>
          <w:sz w:val="28"/>
          <w:szCs w:val="28"/>
        </w:rPr>
        <w:t xml:space="preserve">%), </w:t>
      </w:r>
      <w:r w:rsidRPr="00DD0A16">
        <w:rPr>
          <w:color w:val="000000" w:themeColor="text1"/>
          <w:sz w:val="28"/>
          <w:szCs w:val="28"/>
        </w:rPr>
        <w:t>травмирован</w:t>
      </w:r>
      <w:r w:rsidR="009B3273" w:rsidRPr="00DD0A16">
        <w:rPr>
          <w:color w:val="000000" w:themeColor="text1"/>
          <w:sz w:val="28"/>
          <w:szCs w:val="28"/>
        </w:rPr>
        <w:t>ы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095059" w:rsidRPr="00DD0A16">
        <w:rPr>
          <w:color w:val="000000" w:themeColor="text1"/>
          <w:sz w:val="28"/>
          <w:szCs w:val="28"/>
        </w:rPr>
        <w:t>6</w:t>
      </w:r>
      <w:r w:rsidR="00CC1350" w:rsidRPr="00DD0A16">
        <w:rPr>
          <w:color w:val="000000" w:themeColor="text1"/>
          <w:sz w:val="28"/>
          <w:szCs w:val="28"/>
        </w:rPr>
        <w:t>5</w:t>
      </w:r>
      <w:r w:rsidRPr="00DD0A16">
        <w:rPr>
          <w:color w:val="000000" w:themeColor="text1"/>
          <w:sz w:val="28"/>
          <w:szCs w:val="28"/>
        </w:rPr>
        <w:t xml:space="preserve"> (</w:t>
      </w:r>
      <w:r w:rsidR="00AE4CE9" w:rsidRPr="00DD0A16">
        <w:rPr>
          <w:color w:val="000000" w:themeColor="text1"/>
          <w:sz w:val="28"/>
          <w:szCs w:val="28"/>
        </w:rPr>
        <w:t>+</w:t>
      </w:r>
      <w:r w:rsidR="00CC1350" w:rsidRPr="00DD0A16">
        <w:rPr>
          <w:color w:val="000000" w:themeColor="text1"/>
          <w:sz w:val="28"/>
          <w:szCs w:val="28"/>
        </w:rPr>
        <w:t>10</w:t>
      </w:r>
      <w:r w:rsidRPr="00DD0A16">
        <w:rPr>
          <w:color w:val="000000" w:themeColor="text1"/>
          <w:sz w:val="28"/>
          <w:szCs w:val="28"/>
        </w:rPr>
        <w:t xml:space="preserve">%) </w:t>
      </w:r>
      <w:r w:rsidR="00CC1350" w:rsidRPr="00DD0A16">
        <w:rPr>
          <w:color w:val="000000" w:themeColor="text1"/>
          <w:sz w:val="28"/>
          <w:szCs w:val="28"/>
        </w:rPr>
        <w:t>детей</w:t>
      </w:r>
      <w:r w:rsidRPr="00DD0A16">
        <w:rPr>
          <w:color w:val="000000" w:themeColor="text1"/>
          <w:sz w:val="28"/>
          <w:szCs w:val="28"/>
        </w:rPr>
        <w:t xml:space="preserve"> и </w:t>
      </w:r>
      <w:r w:rsidR="009B3273" w:rsidRPr="00DD0A16">
        <w:rPr>
          <w:color w:val="000000" w:themeColor="text1"/>
          <w:sz w:val="28"/>
          <w:szCs w:val="28"/>
        </w:rPr>
        <w:t>9</w:t>
      </w:r>
      <w:r w:rsidRPr="00DD0A16">
        <w:rPr>
          <w:color w:val="000000" w:themeColor="text1"/>
          <w:sz w:val="28"/>
          <w:szCs w:val="28"/>
        </w:rPr>
        <w:t xml:space="preserve"> погибли (</w:t>
      </w:r>
      <w:r w:rsidR="00CC1350" w:rsidRPr="00DD0A16">
        <w:rPr>
          <w:color w:val="000000" w:themeColor="text1"/>
          <w:sz w:val="28"/>
          <w:szCs w:val="28"/>
        </w:rPr>
        <w:t>-10%</w:t>
      </w:r>
      <w:r w:rsidRPr="00DD0A16">
        <w:rPr>
          <w:color w:val="000000" w:themeColor="text1"/>
          <w:sz w:val="28"/>
          <w:szCs w:val="28"/>
        </w:rPr>
        <w:t>). Из них</w:t>
      </w:r>
      <w:r w:rsidR="00407118" w:rsidRPr="00DD0A16">
        <w:rPr>
          <w:color w:val="000000" w:themeColor="text1"/>
          <w:sz w:val="28"/>
          <w:szCs w:val="28"/>
        </w:rPr>
        <w:t xml:space="preserve"> зарегистрировано </w:t>
      </w:r>
      <w:r w:rsidR="00CC1350" w:rsidRPr="00DD0A16">
        <w:rPr>
          <w:color w:val="000000" w:themeColor="text1"/>
          <w:sz w:val="28"/>
          <w:szCs w:val="28"/>
        </w:rPr>
        <w:t>20</w:t>
      </w:r>
      <w:r w:rsidR="00407118" w:rsidRPr="00DD0A16">
        <w:rPr>
          <w:color w:val="000000" w:themeColor="text1"/>
          <w:sz w:val="28"/>
          <w:szCs w:val="28"/>
        </w:rPr>
        <w:t xml:space="preserve"> ДТП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407118" w:rsidRPr="00DD0A16">
        <w:rPr>
          <w:color w:val="000000" w:themeColor="text1"/>
          <w:sz w:val="28"/>
          <w:szCs w:val="28"/>
        </w:rPr>
        <w:t>(</w:t>
      </w:r>
      <w:r w:rsidR="0082779A" w:rsidRPr="00DD0A16">
        <w:rPr>
          <w:color w:val="000000" w:themeColor="text1"/>
          <w:sz w:val="28"/>
          <w:szCs w:val="28"/>
        </w:rPr>
        <w:t>+</w:t>
      </w:r>
      <w:r w:rsidR="00095059" w:rsidRPr="00DD0A16">
        <w:rPr>
          <w:color w:val="000000" w:themeColor="text1"/>
          <w:sz w:val="28"/>
          <w:szCs w:val="28"/>
        </w:rPr>
        <w:t>3</w:t>
      </w:r>
      <w:r w:rsidR="00CC1350" w:rsidRPr="00DD0A16">
        <w:rPr>
          <w:color w:val="000000" w:themeColor="text1"/>
          <w:sz w:val="28"/>
          <w:szCs w:val="28"/>
        </w:rPr>
        <w:t>7</w:t>
      </w:r>
      <w:r w:rsidR="007559C0" w:rsidRPr="00DD0A16">
        <w:rPr>
          <w:color w:val="000000" w:themeColor="text1"/>
          <w:sz w:val="28"/>
          <w:szCs w:val="28"/>
        </w:rPr>
        <w:t>,</w:t>
      </w:r>
      <w:r w:rsidR="00CC1350" w:rsidRPr="00DD0A16">
        <w:rPr>
          <w:color w:val="000000" w:themeColor="text1"/>
          <w:sz w:val="28"/>
          <w:szCs w:val="28"/>
        </w:rPr>
        <w:t>5</w:t>
      </w:r>
      <w:r w:rsidR="00407118" w:rsidRPr="00DD0A16">
        <w:rPr>
          <w:color w:val="000000" w:themeColor="text1"/>
          <w:sz w:val="28"/>
          <w:szCs w:val="28"/>
        </w:rPr>
        <w:t>%)</w:t>
      </w:r>
      <w:r w:rsidR="00B11175" w:rsidRPr="00DD0A16">
        <w:rPr>
          <w:color w:val="000000" w:themeColor="text1"/>
          <w:sz w:val="28"/>
          <w:szCs w:val="28"/>
        </w:rPr>
        <w:t xml:space="preserve"> </w:t>
      </w:r>
      <w:r w:rsidRPr="00DD0A16">
        <w:rPr>
          <w:color w:val="000000" w:themeColor="text1"/>
          <w:sz w:val="28"/>
          <w:szCs w:val="28"/>
        </w:rPr>
        <w:t>на дорогах федерального значения, в которых пострадал</w:t>
      </w:r>
      <w:r w:rsidR="007559C0" w:rsidRPr="00DD0A16">
        <w:rPr>
          <w:color w:val="000000" w:themeColor="text1"/>
          <w:sz w:val="28"/>
          <w:szCs w:val="28"/>
        </w:rPr>
        <w:t>и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542F5D" w:rsidRPr="00DD0A16">
        <w:rPr>
          <w:color w:val="000000" w:themeColor="text1"/>
          <w:sz w:val="28"/>
          <w:szCs w:val="28"/>
        </w:rPr>
        <w:t>2</w:t>
      </w:r>
      <w:r w:rsidR="00DD0A16" w:rsidRPr="00DD0A16">
        <w:rPr>
          <w:color w:val="000000" w:themeColor="text1"/>
          <w:sz w:val="28"/>
          <w:szCs w:val="28"/>
        </w:rPr>
        <w:t>7</w:t>
      </w:r>
      <w:r w:rsidRPr="00DD0A16">
        <w:rPr>
          <w:color w:val="000000" w:themeColor="text1"/>
          <w:sz w:val="28"/>
          <w:szCs w:val="28"/>
        </w:rPr>
        <w:t xml:space="preserve"> </w:t>
      </w:r>
      <w:r w:rsidR="00095059" w:rsidRPr="00DD0A16">
        <w:rPr>
          <w:color w:val="000000" w:themeColor="text1"/>
          <w:sz w:val="28"/>
          <w:szCs w:val="28"/>
        </w:rPr>
        <w:t>детей</w:t>
      </w:r>
      <w:r w:rsidRPr="00DD0A16">
        <w:rPr>
          <w:color w:val="000000" w:themeColor="text1"/>
          <w:sz w:val="28"/>
          <w:szCs w:val="28"/>
        </w:rPr>
        <w:t xml:space="preserve"> (</w:t>
      </w:r>
      <w:r w:rsidR="009411DD" w:rsidRPr="00DD0A16">
        <w:rPr>
          <w:color w:val="000000" w:themeColor="text1"/>
          <w:sz w:val="28"/>
          <w:szCs w:val="28"/>
        </w:rPr>
        <w:t>+</w:t>
      </w:r>
      <w:r w:rsidR="00DD0A16" w:rsidRPr="00DD0A16">
        <w:rPr>
          <w:color w:val="000000" w:themeColor="text1"/>
          <w:sz w:val="28"/>
          <w:szCs w:val="28"/>
        </w:rPr>
        <w:t>28</w:t>
      </w:r>
      <w:r w:rsidR="009411DD" w:rsidRPr="00DD0A16">
        <w:rPr>
          <w:color w:val="000000" w:themeColor="text1"/>
          <w:sz w:val="28"/>
          <w:szCs w:val="28"/>
        </w:rPr>
        <w:t>%</w:t>
      </w:r>
      <w:r w:rsidRPr="00DD0A16">
        <w:rPr>
          <w:color w:val="000000" w:themeColor="text1"/>
          <w:sz w:val="28"/>
          <w:szCs w:val="28"/>
        </w:rPr>
        <w:t xml:space="preserve">) и </w:t>
      </w:r>
      <w:r w:rsidR="0082779A" w:rsidRPr="00DD0A16">
        <w:rPr>
          <w:color w:val="000000" w:themeColor="text1"/>
          <w:sz w:val="28"/>
          <w:szCs w:val="28"/>
        </w:rPr>
        <w:t>3</w:t>
      </w:r>
      <w:r w:rsidR="00AE4CE9" w:rsidRPr="00DD0A16">
        <w:rPr>
          <w:color w:val="000000" w:themeColor="text1"/>
          <w:sz w:val="28"/>
          <w:szCs w:val="28"/>
        </w:rPr>
        <w:t xml:space="preserve"> погиб</w:t>
      </w:r>
      <w:r w:rsidR="00E90580" w:rsidRPr="00DD0A16">
        <w:rPr>
          <w:color w:val="000000" w:themeColor="text1"/>
          <w:sz w:val="28"/>
          <w:szCs w:val="28"/>
        </w:rPr>
        <w:t>ли</w:t>
      </w:r>
      <w:r w:rsidR="009411DD" w:rsidRPr="00DD0A16">
        <w:rPr>
          <w:color w:val="000000" w:themeColor="text1"/>
          <w:sz w:val="28"/>
          <w:szCs w:val="28"/>
        </w:rPr>
        <w:t xml:space="preserve"> (</w:t>
      </w:r>
      <w:r w:rsidR="0082779A" w:rsidRPr="00DD0A16">
        <w:rPr>
          <w:color w:val="000000" w:themeColor="text1"/>
          <w:sz w:val="28"/>
          <w:szCs w:val="28"/>
        </w:rPr>
        <w:t>+</w:t>
      </w:r>
      <w:r w:rsidR="0082779A" w:rsidRPr="00632759">
        <w:rPr>
          <w:color w:val="000000" w:themeColor="text1"/>
          <w:sz w:val="28"/>
          <w:szCs w:val="28"/>
        </w:rPr>
        <w:t>50%</w:t>
      </w:r>
      <w:r w:rsidRPr="00632759">
        <w:rPr>
          <w:color w:val="000000" w:themeColor="text1"/>
          <w:sz w:val="28"/>
          <w:szCs w:val="28"/>
        </w:rPr>
        <w:t xml:space="preserve">). На автомобильных дорогах регионального значения произошло </w:t>
      </w:r>
      <w:r w:rsidR="007559C0" w:rsidRPr="00632759">
        <w:rPr>
          <w:color w:val="000000" w:themeColor="text1"/>
          <w:sz w:val="28"/>
          <w:szCs w:val="28"/>
        </w:rPr>
        <w:t>4</w:t>
      </w:r>
      <w:r w:rsidR="00632759" w:rsidRPr="00632759">
        <w:rPr>
          <w:color w:val="000000" w:themeColor="text1"/>
          <w:sz w:val="28"/>
          <w:szCs w:val="28"/>
        </w:rPr>
        <w:t>4</w:t>
      </w:r>
      <w:r w:rsidRPr="00632759">
        <w:rPr>
          <w:color w:val="000000" w:themeColor="text1"/>
          <w:sz w:val="28"/>
          <w:szCs w:val="28"/>
        </w:rPr>
        <w:t xml:space="preserve"> ДТП (</w:t>
      </w:r>
      <w:r w:rsidR="00632759" w:rsidRPr="00632759">
        <w:rPr>
          <w:color w:val="000000" w:themeColor="text1"/>
          <w:sz w:val="28"/>
          <w:szCs w:val="28"/>
        </w:rPr>
        <w:t>-10</w:t>
      </w:r>
      <w:r w:rsidR="009411DD" w:rsidRPr="00632759">
        <w:rPr>
          <w:color w:val="000000" w:themeColor="text1"/>
          <w:sz w:val="28"/>
          <w:szCs w:val="28"/>
        </w:rPr>
        <w:t>%</w:t>
      </w:r>
      <w:r w:rsidRPr="00632759">
        <w:rPr>
          <w:color w:val="000000" w:themeColor="text1"/>
          <w:sz w:val="28"/>
          <w:szCs w:val="28"/>
        </w:rPr>
        <w:t xml:space="preserve">), в которых </w:t>
      </w:r>
      <w:r w:rsidR="007559C0" w:rsidRPr="00632759">
        <w:rPr>
          <w:color w:val="000000" w:themeColor="text1"/>
          <w:sz w:val="28"/>
          <w:szCs w:val="28"/>
        </w:rPr>
        <w:t>5</w:t>
      </w:r>
      <w:r w:rsidR="00632759" w:rsidRPr="00632759">
        <w:rPr>
          <w:color w:val="000000" w:themeColor="text1"/>
          <w:sz w:val="28"/>
          <w:szCs w:val="28"/>
        </w:rPr>
        <w:t>5</w:t>
      </w:r>
      <w:r w:rsidR="00AE4CE9" w:rsidRPr="00632759">
        <w:rPr>
          <w:color w:val="000000" w:themeColor="text1"/>
          <w:sz w:val="28"/>
          <w:szCs w:val="28"/>
        </w:rPr>
        <w:t xml:space="preserve"> (+</w:t>
      </w:r>
      <w:r w:rsidR="00632759" w:rsidRPr="00632759">
        <w:rPr>
          <w:color w:val="000000" w:themeColor="text1"/>
          <w:sz w:val="28"/>
          <w:szCs w:val="28"/>
        </w:rPr>
        <w:t>14,6</w:t>
      </w:r>
      <w:r w:rsidRPr="00632759">
        <w:rPr>
          <w:color w:val="000000" w:themeColor="text1"/>
          <w:sz w:val="28"/>
          <w:szCs w:val="28"/>
        </w:rPr>
        <w:t xml:space="preserve">%) </w:t>
      </w:r>
      <w:r w:rsidR="00632759" w:rsidRPr="00632759">
        <w:rPr>
          <w:color w:val="000000" w:themeColor="text1"/>
          <w:sz w:val="28"/>
          <w:szCs w:val="28"/>
        </w:rPr>
        <w:t>детей</w:t>
      </w:r>
      <w:r w:rsidRPr="00632759">
        <w:rPr>
          <w:color w:val="000000" w:themeColor="text1"/>
          <w:sz w:val="28"/>
          <w:szCs w:val="28"/>
        </w:rPr>
        <w:t xml:space="preserve"> получили травмы </w:t>
      </w:r>
      <w:r w:rsidRPr="0072371F">
        <w:rPr>
          <w:color w:val="000000" w:themeColor="text1"/>
          <w:sz w:val="28"/>
          <w:szCs w:val="28"/>
        </w:rPr>
        <w:t xml:space="preserve">различной степени тяжести и </w:t>
      </w:r>
      <w:r w:rsidR="005807AE" w:rsidRPr="0072371F">
        <w:rPr>
          <w:color w:val="000000" w:themeColor="text1"/>
          <w:sz w:val="28"/>
          <w:szCs w:val="28"/>
        </w:rPr>
        <w:t>5</w:t>
      </w:r>
      <w:r w:rsidR="00407118" w:rsidRPr="0072371F">
        <w:rPr>
          <w:color w:val="000000" w:themeColor="text1"/>
          <w:sz w:val="28"/>
          <w:szCs w:val="28"/>
        </w:rPr>
        <w:t xml:space="preserve"> </w:t>
      </w:r>
      <w:r w:rsidR="005807AE" w:rsidRPr="0072371F">
        <w:rPr>
          <w:color w:val="000000" w:themeColor="text1"/>
          <w:sz w:val="28"/>
          <w:szCs w:val="28"/>
        </w:rPr>
        <w:t>несовершеннолетних</w:t>
      </w:r>
      <w:r w:rsidR="00BA1466" w:rsidRPr="0072371F">
        <w:rPr>
          <w:color w:val="000000" w:themeColor="text1"/>
          <w:sz w:val="28"/>
          <w:szCs w:val="28"/>
        </w:rPr>
        <w:t xml:space="preserve"> </w:t>
      </w:r>
      <w:r w:rsidR="00AE4CE9" w:rsidRPr="0072371F">
        <w:rPr>
          <w:color w:val="000000" w:themeColor="text1"/>
          <w:sz w:val="28"/>
          <w:szCs w:val="28"/>
        </w:rPr>
        <w:t>погиб</w:t>
      </w:r>
      <w:r w:rsidR="009411DD" w:rsidRPr="0072371F">
        <w:rPr>
          <w:color w:val="000000" w:themeColor="text1"/>
          <w:sz w:val="28"/>
          <w:szCs w:val="28"/>
        </w:rPr>
        <w:t>ли</w:t>
      </w:r>
      <w:r w:rsidR="00AE4CE9" w:rsidRPr="0072371F">
        <w:rPr>
          <w:color w:val="000000" w:themeColor="text1"/>
          <w:sz w:val="28"/>
          <w:szCs w:val="28"/>
        </w:rPr>
        <w:t xml:space="preserve"> (</w:t>
      </w:r>
      <w:r w:rsidR="00A90DD0" w:rsidRPr="0072371F">
        <w:rPr>
          <w:color w:val="000000" w:themeColor="text1"/>
          <w:sz w:val="28"/>
          <w:szCs w:val="28"/>
        </w:rPr>
        <w:t>-</w:t>
      </w:r>
      <w:r w:rsidR="00632759" w:rsidRPr="0072371F">
        <w:rPr>
          <w:color w:val="000000" w:themeColor="text1"/>
          <w:sz w:val="28"/>
          <w:szCs w:val="28"/>
        </w:rPr>
        <w:t>50</w:t>
      </w:r>
      <w:r w:rsidR="00A90DD0" w:rsidRPr="0072371F">
        <w:rPr>
          <w:color w:val="000000" w:themeColor="text1"/>
          <w:sz w:val="28"/>
          <w:szCs w:val="28"/>
        </w:rPr>
        <w:t>%</w:t>
      </w:r>
      <w:r w:rsidRPr="0072371F">
        <w:rPr>
          <w:color w:val="000000" w:themeColor="text1"/>
          <w:sz w:val="28"/>
          <w:szCs w:val="28"/>
        </w:rPr>
        <w:t xml:space="preserve">). На дорогах местного значения зарегистрировано 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82</w:t>
      </w:r>
      <w:r w:rsidRPr="0072371F">
        <w:rPr>
          <w:color w:val="000000" w:themeColor="text1"/>
          <w:sz w:val="28"/>
          <w:szCs w:val="28"/>
        </w:rPr>
        <w:t xml:space="preserve"> ДТП (</w:t>
      </w:r>
      <w:r w:rsidR="003F50E1" w:rsidRPr="0072371F">
        <w:rPr>
          <w:color w:val="000000" w:themeColor="text1"/>
          <w:sz w:val="28"/>
          <w:szCs w:val="28"/>
        </w:rPr>
        <w:t>-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1</w:t>
      </w:r>
      <w:r w:rsidRPr="0072371F">
        <w:rPr>
          <w:color w:val="000000" w:themeColor="text1"/>
          <w:sz w:val="28"/>
          <w:szCs w:val="28"/>
        </w:rPr>
        <w:t>%), в которых травмирован</w:t>
      </w:r>
      <w:r w:rsidR="009411DD" w:rsidRPr="0072371F">
        <w:rPr>
          <w:color w:val="000000" w:themeColor="text1"/>
          <w:sz w:val="28"/>
          <w:szCs w:val="28"/>
        </w:rPr>
        <w:t>ы</w:t>
      </w:r>
      <w:r w:rsidRPr="0072371F">
        <w:rPr>
          <w:color w:val="000000" w:themeColor="text1"/>
          <w:sz w:val="28"/>
          <w:szCs w:val="28"/>
        </w:rPr>
        <w:t xml:space="preserve"> </w:t>
      </w:r>
      <w:r w:rsidR="00094F32" w:rsidRPr="0072371F">
        <w:rPr>
          <w:color w:val="000000" w:themeColor="text1"/>
          <w:sz w:val="28"/>
          <w:szCs w:val="28"/>
        </w:rPr>
        <w:t>1</w:t>
      </w:r>
      <w:r w:rsidR="0072371F" w:rsidRPr="0072371F">
        <w:rPr>
          <w:color w:val="000000" w:themeColor="text1"/>
          <w:sz w:val="28"/>
          <w:szCs w:val="28"/>
        </w:rPr>
        <w:t>9</w:t>
      </w:r>
      <w:r w:rsidR="003E64F2" w:rsidRPr="0072371F">
        <w:rPr>
          <w:color w:val="000000" w:themeColor="text1"/>
          <w:sz w:val="28"/>
          <w:szCs w:val="28"/>
        </w:rPr>
        <w:t>7</w:t>
      </w:r>
      <w:r w:rsidRPr="0072371F">
        <w:rPr>
          <w:color w:val="000000" w:themeColor="text1"/>
          <w:sz w:val="28"/>
          <w:szCs w:val="28"/>
        </w:rPr>
        <w:t xml:space="preserve"> (</w:t>
      </w:r>
      <w:r w:rsidR="003F50E1" w:rsidRPr="0072371F">
        <w:rPr>
          <w:color w:val="000000" w:themeColor="text1"/>
          <w:sz w:val="28"/>
          <w:szCs w:val="28"/>
        </w:rPr>
        <w:t>-</w:t>
      </w:r>
      <w:r w:rsidR="0072371F" w:rsidRPr="0072371F">
        <w:rPr>
          <w:color w:val="000000" w:themeColor="text1"/>
          <w:sz w:val="28"/>
          <w:szCs w:val="28"/>
        </w:rPr>
        <w:t>8</w:t>
      </w:r>
      <w:r w:rsidRPr="0072371F">
        <w:rPr>
          <w:color w:val="000000" w:themeColor="text1"/>
          <w:sz w:val="28"/>
          <w:szCs w:val="28"/>
        </w:rPr>
        <w:t xml:space="preserve">%) </w:t>
      </w:r>
      <w:r w:rsidR="00FA007A" w:rsidRPr="0072371F">
        <w:rPr>
          <w:color w:val="000000" w:themeColor="text1"/>
          <w:sz w:val="28"/>
          <w:szCs w:val="28"/>
        </w:rPr>
        <w:t>детей</w:t>
      </w:r>
      <w:r w:rsidR="009411DD" w:rsidRPr="0072371F">
        <w:rPr>
          <w:color w:val="000000" w:themeColor="text1"/>
          <w:sz w:val="28"/>
          <w:szCs w:val="28"/>
        </w:rPr>
        <w:t xml:space="preserve"> и </w:t>
      </w:r>
      <w:r w:rsidR="003E64F2" w:rsidRPr="0072371F">
        <w:rPr>
          <w:color w:val="000000" w:themeColor="text1"/>
          <w:sz w:val="28"/>
          <w:szCs w:val="28"/>
        </w:rPr>
        <w:t>4</w:t>
      </w:r>
      <w:r w:rsidR="004D462B" w:rsidRPr="0072371F">
        <w:rPr>
          <w:color w:val="000000" w:themeColor="text1"/>
          <w:sz w:val="28"/>
          <w:szCs w:val="28"/>
        </w:rPr>
        <w:t xml:space="preserve"> </w:t>
      </w:r>
      <w:r w:rsidR="009411DD" w:rsidRPr="0072371F">
        <w:rPr>
          <w:color w:val="000000" w:themeColor="text1"/>
          <w:sz w:val="28"/>
          <w:szCs w:val="28"/>
        </w:rPr>
        <w:t>погиб</w:t>
      </w:r>
      <w:r w:rsidR="004D462B" w:rsidRPr="0072371F">
        <w:rPr>
          <w:color w:val="000000" w:themeColor="text1"/>
          <w:sz w:val="28"/>
          <w:szCs w:val="28"/>
        </w:rPr>
        <w:t>ли</w:t>
      </w:r>
      <w:r w:rsidR="009411DD" w:rsidRPr="0072371F">
        <w:rPr>
          <w:color w:val="000000" w:themeColor="text1"/>
          <w:sz w:val="28"/>
          <w:szCs w:val="28"/>
        </w:rPr>
        <w:t xml:space="preserve"> (</w:t>
      </w:r>
      <w:r w:rsidR="00A276D6" w:rsidRPr="0072371F">
        <w:rPr>
          <w:color w:val="000000" w:themeColor="text1"/>
          <w:sz w:val="28"/>
          <w:szCs w:val="28"/>
        </w:rPr>
        <w:t>-</w:t>
      </w:r>
      <w:r w:rsidR="0072371F" w:rsidRPr="0072371F">
        <w:rPr>
          <w:color w:val="000000" w:themeColor="text1"/>
          <w:sz w:val="28"/>
          <w:szCs w:val="28"/>
        </w:rPr>
        <w:t>55,6</w:t>
      </w:r>
      <w:r w:rsidR="00A276D6" w:rsidRPr="0072371F">
        <w:rPr>
          <w:color w:val="000000" w:themeColor="text1"/>
          <w:sz w:val="28"/>
          <w:szCs w:val="28"/>
        </w:rPr>
        <w:t>%</w:t>
      </w:r>
      <w:r w:rsidR="009411DD" w:rsidRPr="0072371F">
        <w:rPr>
          <w:color w:val="000000" w:themeColor="text1"/>
          <w:sz w:val="28"/>
          <w:szCs w:val="28"/>
        </w:rPr>
        <w:t>)</w:t>
      </w:r>
      <w:r w:rsidRPr="0072371F">
        <w:rPr>
          <w:color w:val="000000" w:themeColor="text1"/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92710</wp:posOffset>
            </wp:positionV>
            <wp:extent cx="1983105" cy="1955800"/>
            <wp:effectExtent l="0" t="0" r="0" b="635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86620B">
        <w:rPr>
          <w:sz w:val="28"/>
          <w:szCs w:val="28"/>
        </w:rPr>
        <w:t>121</w:t>
      </w:r>
      <w:r w:rsidRPr="003F6E03">
        <w:rPr>
          <w:sz w:val="28"/>
          <w:szCs w:val="28"/>
        </w:rPr>
        <w:t xml:space="preserve"> (</w:t>
      </w:r>
      <w:r w:rsidR="0086620B">
        <w:rPr>
          <w:sz w:val="28"/>
          <w:szCs w:val="28"/>
        </w:rPr>
        <w:t>132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8</w:t>
      </w:r>
      <w:r w:rsidR="003E64F2">
        <w:rPr>
          <w:sz w:val="28"/>
          <w:szCs w:val="28"/>
        </w:rPr>
        <w:t>,</w:t>
      </w:r>
      <w:r w:rsidR="0086620B">
        <w:rPr>
          <w:sz w:val="28"/>
          <w:szCs w:val="28"/>
        </w:rPr>
        <w:t>3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4F72D8">
        <w:rPr>
          <w:sz w:val="28"/>
          <w:szCs w:val="28"/>
        </w:rPr>
        <w:t>1</w:t>
      </w:r>
      <w:r w:rsidR="0086620B">
        <w:rPr>
          <w:sz w:val="28"/>
          <w:szCs w:val="28"/>
        </w:rPr>
        <w:t>48</w:t>
      </w:r>
      <w:r w:rsidRPr="003F6E03">
        <w:rPr>
          <w:sz w:val="28"/>
          <w:szCs w:val="28"/>
        </w:rPr>
        <w:t xml:space="preserve"> (</w:t>
      </w:r>
      <w:r w:rsidR="0086620B">
        <w:rPr>
          <w:sz w:val="28"/>
          <w:szCs w:val="28"/>
        </w:rPr>
        <w:t>уровень АППГ</w:t>
      </w:r>
      <w:r w:rsidRPr="003F6E03">
        <w:rPr>
          <w:sz w:val="28"/>
          <w:szCs w:val="28"/>
        </w:rPr>
        <w:t xml:space="preserve">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86620B">
        <w:rPr>
          <w:sz w:val="28"/>
          <w:szCs w:val="28"/>
        </w:rPr>
        <w:t>4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42,9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86620B">
        <w:rPr>
          <w:sz w:val="28"/>
          <w:szCs w:val="28"/>
        </w:rPr>
        <w:t>92</w:t>
      </w:r>
      <w:r w:rsidR="00127B7A" w:rsidRPr="003F6E03">
        <w:rPr>
          <w:sz w:val="28"/>
          <w:szCs w:val="28"/>
        </w:rPr>
        <w:t xml:space="preserve"> </w:t>
      </w:r>
      <w:r w:rsidR="003E64F2">
        <w:rPr>
          <w:sz w:val="28"/>
          <w:szCs w:val="28"/>
        </w:rPr>
        <w:t>ребенка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</w:t>
      </w:r>
      <w:r w:rsidR="0086620B">
        <w:rPr>
          <w:sz w:val="28"/>
          <w:szCs w:val="28"/>
        </w:rPr>
        <w:t>3</w:t>
      </w:r>
      <w:r w:rsidR="00094F32">
        <w:rPr>
          <w:sz w:val="28"/>
          <w:szCs w:val="28"/>
        </w:rPr>
        <w:t>,</w:t>
      </w:r>
      <w:r w:rsidR="0086620B">
        <w:rPr>
          <w:sz w:val="28"/>
          <w:szCs w:val="28"/>
        </w:rPr>
        <w:t>2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86620B">
        <w:rPr>
          <w:sz w:val="28"/>
          <w:szCs w:val="28"/>
        </w:rPr>
        <w:t>41,7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86620B">
        <w:rPr>
          <w:sz w:val="28"/>
          <w:szCs w:val="28"/>
        </w:rPr>
        <w:t>45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4F72D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4F72D8">
        <w:rPr>
          <w:color w:val="000000" w:themeColor="text1"/>
          <w:sz w:val="28"/>
          <w:szCs w:val="28"/>
        </w:rPr>
        <w:t>2</w:t>
      </w:r>
      <w:r w:rsidR="00940938">
        <w:rPr>
          <w:color w:val="000000" w:themeColor="text1"/>
          <w:sz w:val="28"/>
          <w:szCs w:val="28"/>
        </w:rPr>
        <w:t>3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</w:t>
      </w:r>
      <w:r w:rsidR="00E80166">
        <w:rPr>
          <w:color w:val="000000" w:themeColor="text1"/>
          <w:sz w:val="28"/>
          <w:szCs w:val="28"/>
        </w:rPr>
        <w:t>2</w:t>
      </w:r>
      <w:r w:rsidRPr="003F6E03">
        <w:rPr>
          <w:color w:val="000000" w:themeColor="text1"/>
          <w:sz w:val="28"/>
          <w:szCs w:val="28"/>
        </w:rPr>
        <w:t xml:space="preserve"> </w:t>
      </w:r>
      <w:r w:rsidRPr="00430200">
        <w:rPr>
          <w:sz w:val="28"/>
          <w:szCs w:val="28"/>
        </w:rPr>
        <w:t>несовершеннолетних (</w:t>
      </w:r>
      <w:r w:rsidR="00E80166">
        <w:rPr>
          <w:sz w:val="28"/>
          <w:szCs w:val="28"/>
        </w:rPr>
        <w:t>20</w:t>
      </w:r>
      <w:r w:rsidR="00A214D9" w:rsidRPr="00430200">
        <w:rPr>
          <w:sz w:val="28"/>
          <w:szCs w:val="28"/>
        </w:rPr>
        <w:t>;</w:t>
      </w:r>
      <w:r w:rsidRPr="00430200">
        <w:rPr>
          <w:sz w:val="28"/>
          <w:szCs w:val="28"/>
        </w:rPr>
        <w:t xml:space="preserve"> </w:t>
      </w:r>
      <w:r w:rsidR="00A214D9" w:rsidRPr="00430200">
        <w:rPr>
          <w:sz w:val="28"/>
          <w:szCs w:val="28"/>
        </w:rPr>
        <w:t>+</w:t>
      </w:r>
      <w:r w:rsidR="00E80166">
        <w:rPr>
          <w:sz w:val="28"/>
          <w:szCs w:val="28"/>
        </w:rPr>
        <w:t>10</w:t>
      </w:r>
      <w:r w:rsidR="00A214D9" w:rsidRPr="00430200">
        <w:rPr>
          <w:sz w:val="28"/>
          <w:szCs w:val="28"/>
        </w:rPr>
        <w:t>%</w:t>
      </w:r>
      <w:r w:rsidRPr="00430200">
        <w:rPr>
          <w:sz w:val="28"/>
          <w:szCs w:val="28"/>
        </w:rPr>
        <w:t xml:space="preserve">) и </w:t>
      </w:r>
      <w:r w:rsidR="00E80166">
        <w:rPr>
          <w:sz w:val="28"/>
          <w:szCs w:val="28"/>
        </w:rPr>
        <w:t>4</w:t>
      </w:r>
      <w:r w:rsidRPr="00430200">
        <w:rPr>
          <w:sz w:val="28"/>
          <w:szCs w:val="28"/>
        </w:rPr>
        <w:t xml:space="preserve"> погиб</w:t>
      </w:r>
      <w:r w:rsidR="00CD3204" w:rsidRPr="00430200">
        <w:rPr>
          <w:sz w:val="28"/>
          <w:szCs w:val="28"/>
        </w:rPr>
        <w:t>ли</w:t>
      </w:r>
      <w:r w:rsidRPr="00430200">
        <w:rPr>
          <w:sz w:val="28"/>
          <w:szCs w:val="28"/>
        </w:rPr>
        <w:t xml:space="preserve"> (</w:t>
      </w:r>
      <w:r w:rsidR="00E80166">
        <w:rPr>
          <w:sz w:val="28"/>
          <w:szCs w:val="28"/>
        </w:rPr>
        <w:t>-</w:t>
      </w:r>
      <w:r w:rsidR="0027611F" w:rsidRPr="00430200">
        <w:rPr>
          <w:sz w:val="28"/>
          <w:szCs w:val="28"/>
        </w:rPr>
        <w:t>2</w:t>
      </w:r>
      <w:r w:rsidR="00E80166">
        <w:rPr>
          <w:sz w:val="28"/>
          <w:szCs w:val="28"/>
        </w:rPr>
        <w:t>0</w:t>
      </w:r>
      <w:r w:rsidR="0027611F" w:rsidRPr="00430200">
        <w:rPr>
          <w:sz w:val="28"/>
          <w:szCs w:val="28"/>
        </w:rPr>
        <w:t>%)</w:t>
      </w:r>
      <w:r w:rsidRPr="00430200">
        <w:rPr>
          <w:sz w:val="28"/>
          <w:szCs w:val="28"/>
        </w:rPr>
        <w:t xml:space="preserve">. </w:t>
      </w:r>
      <w:r w:rsidR="00940938">
        <w:rPr>
          <w:sz w:val="28"/>
          <w:szCs w:val="28"/>
        </w:rPr>
        <w:t>Четыре</w:t>
      </w:r>
      <w:r w:rsidRPr="00430200">
        <w:rPr>
          <w:sz w:val="28"/>
          <w:szCs w:val="28"/>
        </w:rPr>
        <w:t xml:space="preserve"> </w:t>
      </w:r>
      <w:r w:rsidR="005754F6" w:rsidRPr="00430200">
        <w:rPr>
          <w:sz w:val="28"/>
          <w:szCs w:val="28"/>
        </w:rPr>
        <w:t>ребен</w:t>
      </w:r>
      <w:r w:rsidR="007C53FB" w:rsidRPr="00430200">
        <w:rPr>
          <w:sz w:val="28"/>
          <w:szCs w:val="28"/>
        </w:rPr>
        <w:t>ка</w:t>
      </w:r>
      <w:r w:rsidRPr="00430200">
        <w:rPr>
          <w:sz w:val="28"/>
          <w:szCs w:val="28"/>
        </w:rPr>
        <w:t xml:space="preserve"> перевозил</w:t>
      </w:r>
      <w:r w:rsidR="007C53FB" w:rsidRPr="00430200">
        <w:rPr>
          <w:sz w:val="28"/>
          <w:szCs w:val="28"/>
        </w:rPr>
        <w:t>ись</w:t>
      </w:r>
      <w:r w:rsidR="005754F6" w:rsidRPr="00430200">
        <w:rPr>
          <w:sz w:val="28"/>
          <w:szCs w:val="28"/>
        </w:rPr>
        <w:t xml:space="preserve"> на руках</w:t>
      </w:r>
      <w:r w:rsidRPr="00430200">
        <w:rPr>
          <w:sz w:val="28"/>
          <w:szCs w:val="28"/>
        </w:rPr>
        <w:t xml:space="preserve">, </w:t>
      </w:r>
      <w:r w:rsidR="003F1958" w:rsidRPr="00430200">
        <w:rPr>
          <w:sz w:val="28"/>
          <w:szCs w:val="28"/>
        </w:rPr>
        <w:t>шестер</w:t>
      </w:r>
      <w:r w:rsidR="006608BC" w:rsidRPr="00430200">
        <w:rPr>
          <w:sz w:val="28"/>
          <w:szCs w:val="28"/>
        </w:rPr>
        <w:t>о</w:t>
      </w:r>
      <w:r w:rsidRPr="00430200">
        <w:rPr>
          <w:sz w:val="28"/>
          <w:szCs w:val="28"/>
        </w:rPr>
        <w:t xml:space="preserve"> - </w:t>
      </w:r>
      <w:r w:rsidR="005754F6" w:rsidRPr="00430200">
        <w:rPr>
          <w:sz w:val="28"/>
          <w:szCs w:val="28"/>
        </w:rPr>
        <w:t>в</w:t>
      </w:r>
      <w:r w:rsidRPr="00430200">
        <w:rPr>
          <w:sz w:val="28"/>
          <w:szCs w:val="28"/>
        </w:rPr>
        <w:t xml:space="preserve"> детских удерживающих устройств</w:t>
      </w:r>
      <w:r w:rsidR="005754F6" w:rsidRPr="00430200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430200">
        <w:rPr>
          <w:sz w:val="28"/>
          <w:szCs w:val="28"/>
        </w:rPr>
        <w:t xml:space="preserve">, </w:t>
      </w:r>
      <w:r w:rsidR="00430200" w:rsidRPr="00430200">
        <w:rPr>
          <w:sz w:val="28"/>
          <w:szCs w:val="28"/>
        </w:rPr>
        <w:t>три</w:t>
      </w:r>
      <w:r w:rsidR="00EE193C" w:rsidRPr="00430200">
        <w:rPr>
          <w:sz w:val="28"/>
          <w:szCs w:val="28"/>
        </w:rPr>
        <w:t xml:space="preserve"> ребен</w:t>
      </w:r>
      <w:r w:rsidR="007C53FB" w:rsidRPr="00430200">
        <w:rPr>
          <w:sz w:val="28"/>
          <w:szCs w:val="28"/>
        </w:rPr>
        <w:t>к</w:t>
      </w:r>
      <w:r w:rsidR="00EE193C" w:rsidRPr="00430200">
        <w:rPr>
          <w:sz w:val="28"/>
          <w:szCs w:val="28"/>
        </w:rPr>
        <w:t>а</w:t>
      </w:r>
      <w:r w:rsidR="007C53FB" w:rsidRPr="00430200">
        <w:rPr>
          <w:sz w:val="28"/>
          <w:szCs w:val="28"/>
        </w:rPr>
        <w:t xml:space="preserve"> перевозил</w:t>
      </w:r>
      <w:r w:rsidR="00EE193C" w:rsidRPr="00430200">
        <w:rPr>
          <w:sz w:val="28"/>
          <w:szCs w:val="28"/>
        </w:rPr>
        <w:t>ись</w:t>
      </w:r>
      <w:r w:rsidR="007C53FB" w:rsidRPr="00430200">
        <w:rPr>
          <w:sz w:val="28"/>
          <w:szCs w:val="28"/>
        </w:rPr>
        <w:t xml:space="preserve"> в </w:t>
      </w:r>
      <w:r w:rsidR="00430200" w:rsidRPr="00430200">
        <w:rPr>
          <w:sz w:val="28"/>
          <w:szCs w:val="28"/>
        </w:rPr>
        <w:t>устройствах</w:t>
      </w:r>
      <w:r w:rsidR="007C53FB" w:rsidRPr="00430200">
        <w:rPr>
          <w:sz w:val="28"/>
          <w:szCs w:val="28"/>
        </w:rPr>
        <w:t>, не соответствующ</w:t>
      </w:r>
      <w:r w:rsidR="00430200" w:rsidRPr="00430200">
        <w:rPr>
          <w:sz w:val="28"/>
          <w:szCs w:val="28"/>
        </w:rPr>
        <w:t>их</w:t>
      </w:r>
      <w:r w:rsidR="007C53FB" w:rsidRPr="00430200">
        <w:rPr>
          <w:sz w:val="28"/>
          <w:szCs w:val="28"/>
        </w:rPr>
        <w:t xml:space="preserve"> росту и весу ребенка,</w:t>
      </w:r>
      <w:r w:rsidR="00A72063" w:rsidRPr="00430200">
        <w:rPr>
          <w:sz w:val="28"/>
          <w:szCs w:val="28"/>
        </w:rPr>
        <w:t xml:space="preserve"> еще </w:t>
      </w:r>
      <w:r w:rsidR="00E80166">
        <w:rPr>
          <w:sz w:val="28"/>
          <w:szCs w:val="28"/>
        </w:rPr>
        <w:t>шесть</w:t>
      </w:r>
      <w:r w:rsidR="00A72063" w:rsidRPr="00430200">
        <w:rPr>
          <w:sz w:val="28"/>
          <w:szCs w:val="28"/>
        </w:rPr>
        <w:t xml:space="preserve"> - без детского удерживающего устройства и</w:t>
      </w:r>
      <w:r w:rsidR="005754F6" w:rsidRPr="00430200">
        <w:rPr>
          <w:sz w:val="28"/>
          <w:szCs w:val="28"/>
        </w:rPr>
        <w:t xml:space="preserve"> </w:t>
      </w:r>
      <w:r w:rsidR="00E80166">
        <w:rPr>
          <w:sz w:val="28"/>
          <w:szCs w:val="28"/>
        </w:rPr>
        <w:t>семь</w:t>
      </w:r>
      <w:r w:rsidRPr="00430200">
        <w:rPr>
          <w:sz w:val="28"/>
          <w:szCs w:val="28"/>
        </w:rPr>
        <w:t xml:space="preserve"> </w:t>
      </w:r>
      <w:r w:rsidR="007C53FB" w:rsidRPr="00430200">
        <w:rPr>
          <w:sz w:val="28"/>
          <w:szCs w:val="28"/>
        </w:rPr>
        <w:t>юны</w:t>
      </w:r>
      <w:r w:rsidR="006608BC" w:rsidRPr="00430200">
        <w:rPr>
          <w:sz w:val="28"/>
          <w:szCs w:val="28"/>
        </w:rPr>
        <w:t>х</w:t>
      </w:r>
      <w:r w:rsidR="007C53FB" w:rsidRPr="00430200">
        <w:rPr>
          <w:sz w:val="28"/>
          <w:szCs w:val="28"/>
        </w:rPr>
        <w:t xml:space="preserve"> пассажир</w:t>
      </w:r>
      <w:r w:rsidR="00EE193C" w:rsidRPr="00430200">
        <w:rPr>
          <w:sz w:val="28"/>
          <w:szCs w:val="28"/>
        </w:rPr>
        <w:t>ов</w:t>
      </w:r>
      <w:r w:rsidR="007C53FB" w:rsidRPr="00430200">
        <w:rPr>
          <w:sz w:val="28"/>
          <w:szCs w:val="28"/>
        </w:rPr>
        <w:t xml:space="preserve"> </w:t>
      </w:r>
      <w:r w:rsidRPr="00430200">
        <w:rPr>
          <w:sz w:val="28"/>
          <w:szCs w:val="28"/>
        </w:rPr>
        <w:t>не</w:t>
      </w:r>
      <w:r w:rsidR="005754F6" w:rsidRPr="00430200">
        <w:rPr>
          <w:sz w:val="28"/>
          <w:szCs w:val="28"/>
        </w:rPr>
        <w:t xml:space="preserve"> был</w:t>
      </w:r>
      <w:r w:rsidR="006608BC" w:rsidRPr="00430200">
        <w:rPr>
          <w:sz w:val="28"/>
          <w:szCs w:val="28"/>
        </w:rPr>
        <w:t>и</w:t>
      </w:r>
      <w:r w:rsidRPr="00430200">
        <w:rPr>
          <w:sz w:val="28"/>
          <w:szCs w:val="28"/>
        </w:rPr>
        <w:t xml:space="preserve"> пристегнут</w:t>
      </w:r>
      <w:r w:rsidR="006608BC" w:rsidRPr="00430200">
        <w:rPr>
          <w:sz w:val="28"/>
          <w:szCs w:val="28"/>
        </w:rPr>
        <w:t>ы</w:t>
      </w:r>
      <w:r w:rsidRPr="00430200">
        <w:rPr>
          <w:sz w:val="28"/>
          <w:szCs w:val="28"/>
        </w:rPr>
        <w:t xml:space="preserve"> ремн</w:t>
      </w:r>
      <w:r w:rsidR="005754F6" w:rsidRPr="00430200">
        <w:rPr>
          <w:sz w:val="28"/>
          <w:szCs w:val="28"/>
        </w:rPr>
        <w:t>ем</w:t>
      </w:r>
      <w:r w:rsidRPr="00430200">
        <w:rPr>
          <w:sz w:val="28"/>
          <w:szCs w:val="28"/>
        </w:rPr>
        <w:t xml:space="preserve"> безопасности. При этом</w:t>
      </w:r>
      <w:r w:rsidR="007E0C68" w:rsidRPr="00430200">
        <w:rPr>
          <w:sz w:val="28"/>
          <w:szCs w:val="28"/>
        </w:rPr>
        <w:t>,</w:t>
      </w:r>
      <w:r w:rsidRPr="00430200">
        <w:rPr>
          <w:sz w:val="28"/>
          <w:szCs w:val="28"/>
        </w:rPr>
        <w:t xml:space="preserve"> в </w:t>
      </w:r>
      <w:r w:rsidR="00940938">
        <w:rPr>
          <w:sz w:val="28"/>
          <w:szCs w:val="28"/>
        </w:rPr>
        <w:t>10</w:t>
      </w:r>
      <w:r w:rsidRPr="00430200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430200">
        <w:rPr>
          <w:sz w:val="28"/>
          <w:szCs w:val="28"/>
        </w:rPr>
        <w:t xml:space="preserve"> несовершеннолетних</w:t>
      </w:r>
      <w:r w:rsidRPr="00430200">
        <w:rPr>
          <w:sz w:val="28"/>
          <w:szCs w:val="28"/>
        </w:rPr>
        <w:t>.</w:t>
      </w:r>
    </w:p>
    <w:p w:rsidR="00E252EF" w:rsidRPr="00BD3B88" w:rsidRDefault="00E252EF" w:rsidP="00E252EF">
      <w:pPr>
        <w:ind w:left="-709" w:firstLine="720"/>
        <w:jc w:val="both"/>
        <w:rPr>
          <w:sz w:val="28"/>
          <w:szCs w:val="28"/>
        </w:rPr>
      </w:pPr>
      <w:r w:rsidRPr="00940938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E80166">
        <w:rPr>
          <w:color w:val="000000" w:themeColor="text1"/>
          <w:sz w:val="28"/>
          <w:szCs w:val="28"/>
        </w:rPr>
        <w:t>101</w:t>
      </w:r>
      <w:r w:rsidRPr="00940938">
        <w:rPr>
          <w:color w:val="000000" w:themeColor="text1"/>
          <w:sz w:val="28"/>
          <w:szCs w:val="28"/>
        </w:rPr>
        <w:t xml:space="preserve">; </w:t>
      </w:r>
      <w:r w:rsidR="00AE459E" w:rsidRPr="00940938">
        <w:rPr>
          <w:color w:val="000000" w:themeColor="text1"/>
          <w:sz w:val="28"/>
          <w:szCs w:val="28"/>
        </w:rPr>
        <w:t>-</w:t>
      </w:r>
      <w:r w:rsidR="00E80166">
        <w:rPr>
          <w:color w:val="000000" w:themeColor="text1"/>
          <w:sz w:val="28"/>
          <w:szCs w:val="28"/>
        </w:rPr>
        <w:t>7</w:t>
      </w:r>
      <w:r w:rsidR="000D7E58" w:rsidRPr="00940938">
        <w:rPr>
          <w:color w:val="000000" w:themeColor="text1"/>
          <w:sz w:val="28"/>
          <w:szCs w:val="28"/>
        </w:rPr>
        <w:t>,</w:t>
      </w:r>
      <w:r w:rsidR="00E80166">
        <w:rPr>
          <w:color w:val="000000" w:themeColor="text1"/>
          <w:sz w:val="28"/>
          <w:szCs w:val="28"/>
        </w:rPr>
        <w:t>3</w:t>
      </w:r>
      <w:r w:rsidRPr="00940938">
        <w:rPr>
          <w:color w:val="000000" w:themeColor="text1"/>
          <w:sz w:val="28"/>
          <w:szCs w:val="28"/>
        </w:rPr>
        <w:t xml:space="preserve">%), количество </w:t>
      </w:r>
      <w:r w:rsidRPr="00BD3B88">
        <w:rPr>
          <w:sz w:val="28"/>
          <w:szCs w:val="28"/>
        </w:rPr>
        <w:t xml:space="preserve">травмированных в них детей </w:t>
      </w:r>
      <w:r w:rsidR="0041333B" w:rsidRPr="00BD3B88">
        <w:rPr>
          <w:sz w:val="28"/>
          <w:szCs w:val="28"/>
        </w:rPr>
        <w:t>у</w:t>
      </w:r>
      <w:r w:rsidR="00940938" w:rsidRPr="00BD3B88">
        <w:rPr>
          <w:sz w:val="28"/>
          <w:szCs w:val="28"/>
        </w:rPr>
        <w:t>меньш</w:t>
      </w:r>
      <w:r w:rsidR="00430200" w:rsidRPr="00BD3B88">
        <w:rPr>
          <w:sz w:val="28"/>
          <w:szCs w:val="28"/>
        </w:rPr>
        <w:t>илось</w:t>
      </w:r>
      <w:r w:rsidRPr="00BD3B88">
        <w:rPr>
          <w:sz w:val="28"/>
          <w:szCs w:val="28"/>
        </w:rPr>
        <w:t xml:space="preserve"> на </w:t>
      </w:r>
      <w:r w:rsidR="00E80166">
        <w:rPr>
          <w:sz w:val="28"/>
          <w:szCs w:val="28"/>
        </w:rPr>
        <w:t>2,4</w:t>
      </w:r>
      <w:r w:rsidRPr="00BD3B88">
        <w:rPr>
          <w:sz w:val="28"/>
          <w:szCs w:val="28"/>
        </w:rPr>
        <w:t>% (</w:t>
      </w:r>
      <w:r w:rsidR="00430200" w:rsidRPr="00BD3B88">
        <w:rPr>
          <w:sz w:val="28"/>
          <w:szCs w:val="28"/>
        </w:rPr>
        <w:t>1</w:t>
      </w:r>
      <w:r w:rsidR="00E80166">
        <w:rPr>
          <w:sz w:val="28"/>
          <w:szCs w:val="28"/>
        </w:rPr>
        <w:t>22</w:t>
      </w:r>
      <w:r w:rsidRPr="00BD3B88">
        <w:rPr>
          <w:sz w:val="28"/>
          <w:szCs w:val="28"/>
        </w:rPr>
        <w:t>), погибших</w:t>
      </w:r>
      <w:r w:rsidR="005B6472" w:rsidRPr="00BD3B88">
        <w:rPr>
          <w:sz w:val="28"/>
          <w:szCs w:val="28"/>
        </w:rPr>
        <w:t xml:space="preserve"> </w:t>
      </w:r>
      <w:r w:rsidRPr="00BD3B88">
        <w:rPr>
          <w:sz w:val="28"/>
          <w:szCs w:val="28"/>
        </w:rPr>
        <w:t xml:space="preserve">на </w:t>
      </w:r>
      <w:r w:rsidR="00E80166">
        <w:rPr>
          <w:sz w:val="28"/>
          <w:szCs w:val="28"/>
        </w:rPr>
        <w:t>38</w:t>
      </w:r>
      <w:r w:rsidR="00940938" w:rsidRPr="00BD3B88">
        <w:rPr>
          <w:sz w:val="28"/>
          <w:szCs w:val="28"/>
        </w:rPr>
        <w:t>,</w:t>
      </w:r>
      <w:r w:rsidR="00E80166">
        <w:rPr>
          <w:sz w:val="28"/>
          <w:szCs w:val="28"/>
        </w:rPr>
        <w:t>5</w:t>
      </w:r>
      <w:r w:rsidRPr="00BD3B88">
        <w:rPr>
          <w:sz w:val="28"/>
          <w:szCs w:val="28"/>
        </w:rPr>
        <w:t>% (</w:t>
      </w:r>
      <w:r w:rsidR="000D7E58" w:rsidRPr="00BD3B88">
        <w:rPr>
          <w:sz w:val="28"/>
          <w:szCs w:val="28"/>
        </w:rPr>
        <w:t>8</w:t>
      </w:r>
      <w:r w:rsidRPr="00BD3B88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7C1F61">
        <w:rPr>
          <w:sz w:val="28"/>
          <w:szCs w:val="28"/>
        </w:rPr>
        <w:t>106</w:t>
      </w:r>
      <w:r w:rsidRPr="00016977">
        <w:rPr>
          <w:sz w:val="28"/>
          <w:szCs w:val="28"/>
        </w:rPr>
        <w:t xml:space="preserve"> ДТП (</w:t>
      </w:r>
      <w:r w:rsidR="00F01BD0">
        <w:rPr>
          <w:sz w:val="28"/>
          <w:szCs w:val="28"/>
        </w:rPr>
        <w:t>1</w:t>
      </w:r>
      <w:r w:rsidR="007C1F61">
        <w:rPr>
          <w:sz w:val="28"/>
          <w:szCs w:val="28"/>
        </w:rPr>
        <w:t>40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7C1F61">
        <w:rPr>
          <w:sz w:val="28"/>
          <w:szCs w:val="28"/>
        </w:rPr>
        <w:t>24,3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>), в которых пострадал</w:t>
      </w:r>
      <w:r w:rsidR="007C1F61">
        <w:rPr>
          <w:sz w:val="28"/>
          <w:szCs w:val="28"/>
        </w:rPr>
        <w:t>и</w:t>
      </w:r>
      <w:r w:rsidRPr="00016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110</w:t>
      </w:r>
      <w:r w:rsidRPr="00016977">
        <w:rPr>
          <w:sz w:val="28"/>
          <w:szCs w:val="28"/>
        </w:rPr>
        <w:t xml:space="preserve"> (</w:t>
      </w:r>
      <w:r w:rsidR="00F01BD0">
        <w:rPr>
          <w:sz w:val="28"/>
          <w:szCs w:val="28"/>
        </w:rPr>
        <w:t>1</w:t>
      </w:r>
      <w:r w:rsidR="007C1F61">
        <w:rPr>
          <w:sz w:val="28"/>
          <w:szCs w:val="28"/>
        </w:rPr>
        <w:t>38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6046F6">
        <w:rPr>
          <w:sz w:val="28"/>
          <w:szCs w:val="28"/>
        </w:rPr>
        <w:t>2</w:t>
      </w:r>
      <w:r w:rsidR="007C1F61">
        <w:rPr>
          <w:sz w:val="28"/>
          <w:szCs w:val="28"/>
        </w:rPr>
        <w:t>0</w:t>
      </w:r>
      <w:r w:rsidR="00AD0967">
        <w:rPr>
          <w:sz w:val="28"/>
          <w:szCs w:val="28"/>
        </w:rPr>
        <w:t>,</w:t>
      </w:r>
      <w:r w:rsidR="007C1F61">
        <w:rPr>
          <w:sz w:val="28"/>
          <w:szCs w:val="28"/>
        </w:rPr>
        <w:t>3</w:t>
      </w:r>
      <w:r w:rsidRPr="00016977">
        <w:rPr>
          <w:sz w:val="28"/>
          <w:szCs w:val="28"/>
        </w:rPr>
        <w:t xml:space="preserve">%) </w:t>
      </w:r>
      <w:r w:rsidR="007C1F61">
        <w:rPr>
          <w:sz w:val="28"/>
          <w:szCs w:val="28"/>
        </w:rPr>
        <w:t>детей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AD0967">
        <w:rPr>
          <w:sz w:val="28"/>
          <w:szCs w:val="28"/>
        </w:rPr>
        <w:t>6</w:t>
      </w:r>
      <w:r w:rsidR="002E3C14" w:rsidRPr="00016977">
        <w:rPr>
          <w:sz w:val="28"/>
          <w:szCs w:val="28"/>
        </w:rPr>
        <w:t>; -</w:t>
      </w:r>
      <w:r w:rsidR="006046F6">
        <w:rPr>
          <w:sz w:val="28"/>
          <w:szCs w:val="28"/>
        </w:rPr>
        <w:t>6</w:t>
      </w:r>
      <w:r w:rsidR="00AD0967">
        <w:rPr>
          <w:sz w:val="28"/>
          <w:szCs w:val="28"/>
        </w:rPr>
        <w:t>6,7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6046F6">
        <w:rPr>
          <w:color w:val="000000" w:themeColor="text1"/>
          <w:sz w:val="28"/>
          <w:szCs w:val="28"/>
        </w:rPr>
        <w:t>3</w:t>
      </w:r>
      <w:r w:rsidR="007C1F61">
        <w:rPr>
          <w:color w:val="000000" w:themeColor="text1"/>
          <w:sz w:val="28"/>
          <w:szCs w:val="28"/>
        </w:rPr>
        <w:t>8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AD0967">
        <w:rPr>
          <w:sz w:val="28"/>
          <w:szCs w:val="28"/>
        </w:rPr>
        <w:t>7</w:t>
      </w:r>
      <w:r w:rsidRPr="007F49F0">
        <w:rPr>
          <w:sz w:val="28"/>
          <w:szCs w:val="28"/>
        </w:rPr>
        <w:t>% (</w:t>
      </w:r>
      <w:r w:rsidR="007C1F61">
        <w:rPr>
          <w:sz w:val="28"/>
          <w:szCs w:val="28"/>
        </w:rPr>
        <w:t>61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7C1F61">
        <w:rPr>
          <w:sz w:val="28"/>
          <w:szCs w:val="28"/>
        </w:rPr>
        <w:t>60</w:t>
      </w:r>
      <w:r w:rsidRPr="007F49F0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детей</w:t>
      </w:r>
      <w:r w:rsidR="00587E60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br/>
      </w:r>
      <w:r w:rsidR="00587E60" w:rsidRPr="007F49F0">
        <w:rPr>
          <w:sz w:val="28"/>
          <w:szCs w:val="28"/>
        </w:rPr>
        <w:t>(-</w:t>
      </w:r>
      <w:r w:rsidR="007C1F61">
        <w:rPr>
          <w:sz w:val="28"/>
          <w:szCs w:val="28"/>
        </w:rPr>
        <w:t>6</w:t>
      </w:r>
      <w:r w:rsidR="00137CEF" w:rsidRPr="007F49F0">
        <w:rPr>
          <w:sz w:val="28"/>
          <w:szCs w:val="28"/>
        </w:rPr>
        <w:t>,</w:t>
      </w:r>
      <w:r w:rsidR="007C1F61">
        <w:rPr>
          <w:sz w:val="28"/>
          <w:szCs w:val="28"/>
        </w:rPr>
        <w:t>3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</w:t>
      </w:r>
      <w:r w:rsidR="00AD0967">
        <w:rPr>
          <w:sz w:val="28"/>
          <w:szCs w:val="28"/>
        </w:rPr>
        <w:t>66,7</w:t>
      </w:r>
      <w:r w:rsidR="003E7902" w:rsidRPr="007F49F0">
        <w:rPr>
          <w:sz w:val="28"/>
          <w:szCs w:val="28"/>
        </w:rPr>
        <w:t>%)</w:t>
      </w:r>
      <w:r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7C1F61">
        <w:rPr>
          <w:sz w:val="28"/>
          <w:szCs w:val="28"/>
        </w:rPr>
        <w:t>37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6046F6">
        <w:rPr>
          <w:sz w:val="28"/>
          <w:szCs w:val="28"/>
        </w:rPr>
        <w:t>3</w:t>
      </w:r>
      <w:r w:rsidR="007C1F61">
        <w:rPr>
          <w:sz w:val="28"/>
          <w:szCs w:val="28"/>
        </w:rPr>
        <w:t>9</w:t>
      </w:r>
      <w:r w:rsidRPr="007F49F0">
        <w:rPr>
          <w:sz w:val="28"/>
          <w:szCs w:val="28"/>
        </w:rPr>
        <w:t xml:space="preserve"> юных пешеход</w:t>
      </w:r>
      <w:r w:rsidR="007C1F61">
        <w:rPr>
          <w:sz w:val="28"/>
          <w:szCs w:val="28"/>
        </w:rPr>
        <w:t>ов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7C1F61">
        <w:rPr>
          <w:sz w:val="28"/>
          <w:szCs w:val="28"/>
        </w:rPr>
        <w:t>27</w:t>
      </w:r>
      <w:r w:rsidR="00AD0967">
        <w:rPr>
          <w:sz w:val="28"/>
          <w:szCs w:val="28"/>
        </w:rPr>
        <w:t>,</w:t>
      </w:r>
      <w:r w:rsidR="007C1F61">
        <w:rPr>
          <w:sz w:val="28"/>
          <w:szCs w:val="28"/>
        </w:rPr>
        <w:t>8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>
        <w:rPr>
          <w:color w:val="000000" w:themeColor="text1"/>
          <w:sz w:val="28"/>
          <w:szCs w:val="28"/>
        </w:rPr>
        <w:t xml:space="preserve">уменьшилось на </w:t>
      </w:r>
      <w:r w:rsidR="007C1F61">
        <w:rPr>
          <w:color w:val="000000" w:themeColor="text1"/>
          <w:sz w:val="28"/>
          <w:szCs w:val="28"/>
        </w:rPr>
        <w:t>15,8</w:t>
      </w:r>
      <w:r w:rsidR="00AD0967">
        <w:rPr>
          <w:color w:val="000000" w:themeColor="text1"/>
          <w:sz w:val="28"/>
          <w:szCs w:val="28"/>
        </w:rPr>
        <w:t>%</w:t>
      </w:r>
      <w:r w:rsidR="006046F6">
        <w:rPr>
          <w:color w:val="000000" w:themeColor="text1"/>
          <w:sz w:val="28"/>
          <w:szCs w:val="28"/>
        </w:rPr>
        <w:t xml:space="preserve"> </w:t>
      </w:r>
      <w:r w:rsidRPr="009F6BF2">
        <w:rPr>
          <w:color w:val="000000" w:themeColor="text1"/>
          <w:sz w:val="28"/>
          <w:szCs w:val="28"/>
        </w:rPr>
        <w:t>(</w:t>
      </w:r>
      <w:r w:rsidR="00AD0967">
        <w:rPr>
          <w:color w:val="000000" w:themeColor="text1"/>
          <w:sz w:val="28"/>
          <w:szCs w:val="28"/>
        </w:rPr>
        <w:t>1</w:t>
      </w:r>
      <w:r w:rsidR="007C1F61">
        <w:rPr>
          <w:color w:val="000000" w:themeColor="text1"/>
          <w:sz w:val="28"/>
          <w:szCs w:val="28"/>
        </w:rPr>
        <w:t xml:space="preserve">6 </w:t>
      </w:r>
      <w:r w:rsidR="00587E60">
        <w:rPr>
          <w:color w:val="000000" w:themeColor="text1"/>
          <w:sz w:val="28"/>
          <w:szCs w:val="28"/>
        </w:rPr>
        <w:t>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>Участниками каждого второго происшествия (</w:t>
      </w:r>
      <w:r w:rsidR="007C1F61">
        <w:rPr>
          <w:sz w:val="28"/>
          <w:szCs w:val="28"/>
        </w:rPr>
        <w:t>60</w:t>
      </w:r>
      <w:r w:rsidR="00085426" w:rsidRPr="00315977">
        <w:rPr>
          <w:sz w:val="28"/>
          <w:szCs w:val="28"/>
        </w:rPr>
        <w:t xml:space="preserve">; </w:t>
      </w:r>
      <w:r w:rsidR="007C1F61">
        <w:rPr>
          <w:sz w:val="28"/>
          <w:szCs w:val="28"/>
        </w:rPr>
        <w:t>56</w:t>
      </w:r>
      <w:r w:rsidR="00085426" w:rsidRPr="00315977">
        <w:rPr>
          <w:sz w:val="28"/>
          <w:szCs w:val="28"/>
        </w:rPr>
        <w:t>%</w:t>
      </w:r>
      <w:r w:rsidRPr="00315977">
        <w:rPr>
          <w:sz w:val="28"/>
          <w:szCs w:val="28"/>
        </w:rPr>
        <w:t xml:space="preserve">) стали дети-пешеходы в возрасте </w:t>
      </w:r>
      <w:r w:rsidR="0046072A" w:rsidRPr="00315977">
        <w:rPr>
          <w:sz w:val="28"/>
          <w:szCs w:val="28"/>
        </w:rPr>
        <w:t>1</w:t>
      </w:r>
      <w:r w:rsidR="005C6D86" w:rsidRPr="00315977">
        <w:rPr>
          <w:sz w:val="28"/>
          <w:szCs w:val="28"/>
        </w:rPr>
        <w:t>0</w:t>
      </w:r>
      <w:r w:rsidRPr="00315977">
        <w:rPr>
          <w:sz w:val="28"/>
          <w:szCs w:val="28"/>
        </w:rPr>
        <w:t>-</w:t>
      </w:r>
      <w:r w:rsidR="0046072A" w:rsidRPr="00315977">
        <w:rPr>
          <w:sz w:val="28"/>
          <w:szCs w:val="28"/>
        </w:rPr>
        <w:t>15</w:t>
      </w:r>
      <w:r w:rsidRPr="00315977">
        <w:rPr>
          <w:sz w:val="28"/>
          <w:szCs w:val="28"/>
        </w:rPr>
        <w:t xml:space="preserve"> лет, в этих авариях травмирован</w:t>
      </w:r>
      <w:r w:rsidR="001A0245" w:rsidRPr="00315977">
        <w:rPr>
          <w:sz w:val="28"/>
          <w:szCs w:val="28"/>
        </w:rPr>
        <w:t>ы</w:t>
      </w:r>
      <w:r w:rsidRPr="00315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6</w:t>
      </w:r>
      <w:r w:rsidR="00895402">
        <w:rPr>
          <w:sz w:val="28"/>
          <w:szCs w:val="28"/>
        </w:rPr>
        <w:t>3</w:t>
      </w:r>
      <w:r w:rsidRPr="00315977">
        <w:rPr>
          <w:sz w:val="28"/>
          <w:szCs w:val="28"/>
        </w:rPr>
        <w:t xml:space="preserve"> </w:t>
      </w:r>
      <w:r w:rsidR="007C1F61">
        <w:rPr>
          <w:sz w:val="28"/>
          <w:szCs w:val="28"/>
        </w:rPr>
        <w:t>ребенка</w:t>
      </w:r>
      <w:r w:rsidR="00825DE2" w:rsidRPr="00315977">
        <w:rPr>
          <w:sz w:val="28"/>
          <w:szCs w:val="28"/>
        </w:rPr>
        <w:t xml:space="preserve"> и 1 погиб</w:t>
      </w:r>
      <w:r w:rsidRPr="00315977">
        <w:rPr>
          <w:sz w:val="28"/>
          <w:szCs w:val="28"/>
        </w:rPr>
        <w:t>.</w:t>
      </w:r>
      <w:r w:rsidR="00587E60" w:rsidRPr="00315977">
        <w:rPr>
          <w:sz w:val="28"/>
          <w:szCs w:val="28"/>
        </w:rPr>
        <w:t xml:space="preserve"> </w:t>
      </w:r>
      <w:r w:rsidRPr="00315977">
        <w:rPr>
          <w:sz w:val="28"/>
          <w:szCs w:val="28"/>
        </w:rPr>
        <w:t>Все наезды произошли в городах и населенных пунктах. На</w:t>
      </w:r>
      <w:r w:rsidR="00895402">
        <w:rPr>
          <w:sz w:val="28"/>
          <w:szCs w:val="28"/>
        </w:rPr>
        <w:t>ибольшее количество наездов на</w:t>
      </w:r>
      <w:r w:rsidR="008F7621" w:rsidRPr="00315977">
        <w:rPr>
          <w:sz w:val="28"/>
          <w:szCs w:val="28"/>
        </w:rPr>
        <w:t xml:space="preserve"> </w:t>
      </w:r>
      <w:r w:rsidRPr="00315977">
        <w:rPr>
          <w:sz w:val="28"/>
          <w:szCs w:val="28"/>
        </w:rPr>
        <w:t xml:space="preserve">детей-пешеходов </w:t>
      </w:r>
      <w:r w:rsidR="00895402">
        <w:rPr>
          <w:sz w:val="28"/>
          <w:szCs w:val="28"/>
        </w:rPr>
        <w:t xml:space="preserve">зарегистрировано </w:t>
      </w:r>
      <w:r w:rsidRPr="00315977">
        <w:rPr>
          <w:sz w:val="28"/>
          <w:szCs w:val="28"/>
        </w:rPr>
        <w:t>в</w:t>
      </w:r>
      <w:r w:rsidR="001A0245" w:rsidRPr="00315977">
        <w:rPr>
          <w:sz w:val="28"/>
          <w:szCs w:val="28"/>
        </w:rPr>
        <w:t xml:space="preserve"> </w:t>
      </w:r>
      <w:r w:rsidR="008F7621" w:rsidRPr="00315977">
        <w:rPr>
          <w:sz w:val="28"/>
          <w:szCs w:val="28"/>
        </w:rPr>
        <w:t>среду (</w:t>
      </w:r>
      <w:r w:rsidR="00315977" w:rsidRPr="00315977">
        <w:rPr>
          <w:sz w:val="28"/>
          <w:szCs w:val="28"/>
        </w:rPr>
        <w:t>2</w:t>
      </w:r>
      <w:r w:rsidR="00895402">
        <w:rPr>
          <w:sz w:val="28"/>
          <w:szCs w:val="28"/>
        </w:rPr>
        <w:t>4</w:t>
      </w:r>
      <w:r w:rsidR="008F7621" w:rsidRPr="00315977">
        <w:rPr>
          <w:sz w:val="28"/>
          <w:szCs w:val="28"/>
        </w:rPr>
        <w:t xml:space="preserve"> ДТП, </w:t>
      </w:r>
      <w:r w:rsidR="00315977" w:rsidRPr="00315977">
        <w:rPr>
          <w:sz w:val="28"/>
          <w:szCs w:val="28"/>
        </w:rPr>
        <w:t>2</w:t>
      </w:r>
      <w:r w:rsidR="00895402">
        <w:rPr>
          <w:sz w:val="28"/>
          <w:szCs w:val="28"/>
        </w:rPr>
        <w:t>5</w:t>
      </w:r>
      <w:r w:rsidR="008F7621" w:rsidRPr="00315977">
        <w:rPr>
          <w:sz w:val="28"/>
          <w:szCs w:val="28"/>
        </w:rPr>
        <w:t xml:space="preserve"> ранены и 1 погиб). Помимо этого, </w:t>
      </w:r>
      <w:r w:rsidR="00895402">
        <w:rPr>
          <w:sz w:val="28"/>
          <w:szCs w:val="28"/>
        </w:rPr>
        <w:br/>
      </w:r>
      <w:r w:rsidR="008F7621" w:rsidRPr="00315977">
        <w:rPr>
          <w:sz w:val="28"/>
          <w:szCs w:val="28"/>
        </w:rPr>
        <w:t>1</w:t>
      </w:r>
      <w:r w:rsidR="00895402">
        <w:rPr>
          <w:sz w:val="28"/>
          <w:szCs w:val="28"/>
        </w:rPr>
        <w:t>9</w:t>
      </w:r>
      <w:r w:rsidR="001A0245" w:rsidRPr="00315977">
        <w:rPr>
          <w:sz w:val="28"/>
          <w:szCs w:val="28"/>
        </w:rPr>
        <w:t xml:space="preserve"> ДТП</w:t>
      </w:r>
      <w:r w:rsidR="008F7621" w:rsidRPr="00315977">
        <w:rPr>
          <w:sz w:val="28"/>
          <w:szCs w:val="28"/>
        </w:rPr>
        <w:t xml:space="preserve"> с юными пешеходами зарегистрированы</w:t>
      </w:r>
      <w:r w:rsidR="003F7645" w:rsidRPr="00315977">
        <w:rPr>
          <w:sz w:val="28"/>
          <w:szCs w:val="28"/>
        </w:rPr>
        <w:t xml:space="preserve"> в </w:t>
      </w:r>
      <w:r w:rsidR="00895402" w:rsidRPr="00315977">
        <w:rPr>
          <w:sz w:val="28"/>
          <w:szCs w:val="28"/>
        </w:rPr>
        <w:t>пятницу</w:t>
      </w:r>
      <w:r w:rsidR="003F7645" w:rsidRPr="00315977">
        <w:rPr>
          <w:sz w:val="28"/>
          <w:szCs w:val="28"/>
        </w:rPr>
        <w:t xml:space="preserve">, в этих авариях пострадали </w:t>
      </w:r>
      <w:r w:rsidR="003F7645" w:rsidRPr="00315977">
        <w:rPr>
          <w:sz w:val="28"/>
          <w:szCs w:val="28"/>
        </w:rPr>
        <w:lastRenderedPageBreak/>
        <w:t>1</w:t>
      </w:r>
      <w:r w:rsidR="00895402">
        <w:rPr>
          <w:sz w:val="28"/>
          <w:szCs w:val="28"/>
        </w:rPr>
        <w:t>8</w:t>
      </w:r>
      <w:r w:rsidR="003F7645" w:rsidRPr="00315977">
        <w:rPr>
          <w:sz w:val="28"/>
          <w:szCs w:val="28"/>
        </w:rPr>
        <w:t xml:space="preserve"> детей и</w:t>
      </w:r>
      <w:r w:rsidR="00895402">
        <w:rPr>
          <w:sz w:val="28"/>
          <w:szCs w:val="28"/>
        </w:rPr>
        <w:t xml:space="preserve"> 1 погиб. </w:t>
      </w:r>
      <w:r w:rsidR="008F7621" w:rsidRPr="00315977">
        <w:rPr>
          <w:sz w:val="28"/>
          <w:szCs w:val="28"/>
        </w:rPr>
        <w:t xml:space="preserve">Наименьшее количество аварий с участием детей-пешеходов зафиксировано в субботу: </w:t>
      </w:r>
      <w:r w:rsidR="00315977" w:rsidRPr="00315977">
        <w:rPr>
          <w:sz w:val="28"/>
          <w:szCs w:val="28"/>
        </w:rPr>
        <w:t>3</w:t>
      </w:r>
      <w:r w:rsidR="008F7621" w:rsidRPr="00315977">
        <w:rPr>
          <w:sz w:val="28"/>
          <w:szCs w:val="28"/>
        </w:rPr>
        <w:t xml:space="preserve"> ДТП</w:t>
      </w:r>
      <w:r w:rsidR="008F7621" w:rsidRPr="004D587C">
        <w:rPr>
          <w:sz w:val="28"/>
          <w:szCs w:val="28"/>
        </w:rPr>
        <w:t xml:space="preserve">, </w:t>
      </w:r>
      <w:r w:rsidR="00315977" w:rsidRPr="004D587C">
        <w:rPr>
          <w:sz w:val="28"/>
          <w:szCs w:val="28"/>
        </w:rPr>
        <w:t>3</w:t>
      </w:r>
      <w:r w:rsidR="008F7621" w:rsidRPr="004D587C">
        <w:rPr>
          <w:sz w:val="28"/>
          <w:szCs w:val="28"/>
        </w:rPr>
        <w:t xml:space="preserve"> ранены.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895402">
        <w:rPr>
          <w:sz w:val="28"/>
          <w:szCs w:val="28"/>
        </w:rPr>
        <w:t>3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895402">
        <w:rPr>
          <w:sz w:val="28"/>
          <w:szCs w:val="28"/>
        </w:rPr>
        <w:t>80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895402">
        <w:rPr>
          <w:sz w:val="28"/>
          <w:szCs w:val="28"/>
        </w:rPr>
        <w:t>82</w:t>
      </w:r>
      <w:r w:rsidR="00085426" w:rsidRPr="004D587C">
        <w:rPr>
          <w:sz w:val="28"/>
          <w:szCs w:val="28"/>
        </w:rPr>
        <w:t xml:space="preserve"> ДТП, </w:t>
      </w:r>
      <w:r w:rsidR="00895402">
        <w:rPr>
          <w:sz w:val="28"/>
          <w:szCs w:val="28"/>
        </w:rPr>
        <w:t>85</w:t>
      </w:r>
      <w:r w:rsidR="00085426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погибли</w:t>
      </w:r>
      <w:r w:rsidR="00D24F58" w:rsidRPr="004D587C">
        <w:rPr>
          <w:sz w:val="28"/>
          <w:szCs w:val="28"/>
        </w:rPr>
        <w:t>)</w:t>
      </w:r>
      <w:r w:rsidRPr="004D587C">
        <w:rPr>
          <w:sz w:val="28"/>
          <w:szCs w:val="28"/>
        </w:rPr>
        <w:t xml:space="preserve"> с участием </w:t>
      </w:r>
      <w:r w:rsidR="007E0C68" w:rsidRPr="004D587C">
        <w:rPr>
          <w:sz w:val="28"/>
          <w:szCs w:val="28"/>
        </w:rPr>
        <w:t>детей-</w:t>
      </w:r>
      <w:r w:rsidRPr="004D587C">
        <w:rPr>
          <w:sz w:val="28"/>
          <w:szCs w:val="28"/>
        </w:rPr>
        <w:t>пешеходов, при этом максимальные значения за</w:t>
      </w:r>
      <w:r w:rsidR="00CB62AB" w:rsidRPr="004D587C">
        <w:rPr>
          <w:sz w:val="28"/>
          <w:szCs w:val="28"/>
        </w:rPr>
        <w:t>фиксированы</w:t>
      </w:r>
      <w:r w:rsidRPr="004D587C">
        <w:rPr>
          <w:sz w:val="28"/>
          <w:szCs w:val="28"/>
        </w:rPr>
        <w:t xml:space="preserve"> в период с 1</w:t>
      </w:r>
      <w:r w:rsidR="00085426" w:rsidRPr="004D587C">
        <w:rPr>
          <w:sz w:val="28"/>
          <w:szCs w:val="28"/>
        </w:rPr>
        <w:t>6</w:t>
      </w:r>
      <w:r w:rsidRPr="004D587C">
        <w:rPr>
          <w:sz w:val="28"/>
          <w:szCs w:val="28"/>
        </w:rPr>
        <w:t xml:space="preserve"> до 1</w:t>
      </w:r>
      <w:r w:rsidR="003F7645" w:rsidRPr="004D587C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</w:t>
      </w:r>
      <w:r w:rsidR="007E0C68" w:rsidRPr="004D587C">
        <w:rPr>
          <w:sz w:val="28"/>
          <w:szCs w:val="28"/>
        </w:rPr>
        <w:t>часов</w:t>
      </w:r>
      <w:r w:rsidR="00D24F58" w:rsidRPr="004D587C">
        <w:rPr>
          <w:sz w:val="28"/>
          <w:szCs w:val="28"/>
        </w:rPr>
        <w:t xml:space="preserve"> (</w:t>
      </w:r>
      <w:r w:rsidR="00895402">
        <w:rPr>
          <w:sz w:val="28"/>
          <w:szCs w:val="28"/>
        </w:rPr>
        <w:t>43</w:t>
      </w:r>
      <w:r w:rsidR="00CB62AB" w:rsidRPr="004D587C">
        <w:rPr>
          <w:sz w:val="28"/>
          <w:szCs w:val="28"/>
        </w:rPr>
        <w:t xml:space="preserve"> ДТП, </w:t>
      </w:r>
      <w:r w:rsidR="00895402">
        <w:rPr>
          <w:sz w:val="28"/>
          <w:szCs w:val="28"/>
        </w:rPr>
        <w:t>44</w:t>
      </w:r>
      <w:r w:rsidR="00CB62AB" w:rsidRPr="004D587C">
        <w:rPr>
          <w:sz w:val="28"/>
          <w:szCs w:val="28"/>
        </w:rPr>
        <w:t xml:space="preserve"> ранены, </w:t>
      </w:r>
      <w:r w:rsidR="00E27432" w:rsidRPr="004D587C">
        <w:rPr>
          <w:sz w:val="28"/>
          <w:szCs w:val="28"/>
        </w:rPr>
        <w:t>2</w:t>
      </w:r>
      <w:r w:rsidR="00CB62AB" w:rsidRPr="004D587C">
        <w:rPr>
          <w:sz w:val="28"/>
          <w:szCs w:val="28"/>
        </w:rPr>
        <w:t xml:space="preserve"> погиб</w:t>
      </w:r>
      <w:r w:rsidR="00E27432" w:rsidRPr="004D587C">
        <w:rPr>
          <w:sz w:val="28"/>
          <w:szCs w:val="28"/>
        </w:rPr>
        <w:t>ли</w:t>
      </w:r>
      <w:r w:rsidR="00CB62AB" w:rsidRPr="004D587C">
        <w:rPr>
          <w:sz w:val="28"/>
          <w:szCs w:val="28"/>
        </w:rPr>
        <w:t>).</w:t>
      </w:r>
      <w:r w:rsidR="00895402">
        <w:rPr>
          <w:sz w:val="28"/>
          <w:szCs w:val="28"/>
        </w:rPr>
        <w:t xml:space="preserve"> В период с 22 до 07.00 дорожных аварий с детьми не зарегистрировано.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AD0967">
        <w:rPr>
          <w:color w:val="000000" w:themeColor="text1"/>
          <w:sz w:val="28"/>
          <w:szCs w:val="28"/>
        </w:rPr>
        <w:t>2</w:t>
      </w:r>
      <w:r w:rsidR="001D629F">
        <w:rPr>
          <w:color w:val="000000" w:themeColor="text1"/>
          <w:sz w:val="28"/>
          <w:szCs w:val="28"/>
        </w:rPr>
        <w:t>2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1D629F">
        <w:rPr>
          <w:color w:val="000000" w:themeColor="text1"/>
          <w:sz w:val="28"/>
          <w:szCs w:val="28"/>
        </w:rPr>
        <w:t>20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</w:t>
      </w:r>
      <w:r w:rsidR="001D629F">
        <w:rPr>
          <w:color w:val="000000" w:themeColor="text1"/>
          <w:sz w:val="28"/>
          <w:szCs w:val="28"/>
        </w:rPr>
        <w:t>Из них в 9 случаях д</w:t>
      </w:r>
      <w:r w:rsidRPr="002E6E4A">
        <w:rPr>
          <w:color w:val="000000" w:themeColor="text1"/>
          <w:sz w:val="28"/>
          <w:szCs w:val="28"/>
        </w:rPr>
        <w:t>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AD0967" w:rsidRDefault="002F7BE0" w:rsidP="00AD096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>юных водителей велотранспорта</w:t>
      </w:r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AD0967">
        <w:rPr>
          <w:color w:val="000000" w:themeColor="text1"/>
          <w:sz w:val="28"/>
          <w:szCs w:val="28"/>
        </w:rPr>
        <w:t>3</w:t>
      </w:r>
      <w:r w:rsidR="001D629F">
        <w:rPr>
          <w:color w:val="000000" w:themeColor="text1"/>
          <w:sz w:val="28"/>
          <w:szCs w:val="28"/>
        </w:rPr>
        <w:t>5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1D629F">
        <w:rPr>
          <w:color w:val="000000" w:themeColor="text1"/>
          <w:sz w:val="28"/>
          <w:szCs w:val="28"/>
        </w:rPr>
        <w:t>30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</w:t>
      </w:r>
      <w:r w:rsidR="001D629F">
        <w:rPr>
          <w:color w:val="000000" w:themeColor="text1"/>
          <w:sz w:val="28"/>
          <w:szCs w:val="28"/>
        </w:rPr>
        <w:t>6</w:t>
      </w:r>
      <w:r w:rsidR="00C27589">
        <w:rPr>
          <w:color w:val="000000" w:themeColor="text1"/>
          <w:sz w:val="28"/>
          <w:szCs w:val="28"/>
        </w:rPr>
        <w:t>,</w:t>
      </w:r>
      <w:r w:rsidR="001D629F">
        <w:rPr>
          <w:color w:val="000000" w:themeColor="text1"/>
          <w:sz w:val="28"/>
          <w:szCs w:val="28"/>
        </w:rPr>
        <w:t>7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>пострадал</w:t>
      </w:r>
      <w:r w:rsidR="001D629F">
        <w:rPr>
          <w:color w:val="000000" w:themeColor="text1"/>
          <w:sz w:val="28"/>
          <w:szCs w:val="28"/>
        </w:rPr>
        <w:t>и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3</w:t>
      </w:r>
      <w:r w:rsidR="001D629F">
        <w:rPr>
          <w:color w:val="000000" w:themeColor="text1"/>
          <w:sz w:val="28"/>
          <w:szCs w:val="28"/>
        </w:rPr>
        <w:t>4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AD0967">
        <w:rPr>
          <w:color w:val="000000" w:themeColor="text1"/>
          <w:sz w:val="28"/>
          <w:szCs w:val="28"/>
        </w:rPr>
        <w:t>ребен</w:t>
      </w:r>
      <w:r w:rsidR="001D629F">
        <w:rPr>
          <w:color w:val="000000" w:themeColor="text1"/>
          <w:sz w:val="28"/>
          <w:szCs w:val="28"/>
        </w:rPr>
        <w:t>ка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1D629F">
        <w:rPr>
          <w:color w:val="000000" w:themeColor="text1"/>
          <w:sz w:val="28"/>
          <w:szCs w:val="28"/>
        </w:rPr>
        <w:t>30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C27589">
        <w:rPr>
          <w:color w:val="000000" w:themeColor="text1"/>
          <w:sz w:val="28"/>
          <w:szCs w:val="28"/>
        </w:rPr>
        <w:t>+</w:t>
      </w:r>
      <w:r w:rsidR="00AD0967">
        <w:rPr>
          <w:color w:val="000000" w:themeColor="text1"/>
          <w:sz w:val="28"/>
          <w:szCs w:val="28"/>
        </w:rPr>
        <w:t>1</w:t>
      </w:r>
      <w:r w:rsidR="001D629F">
        <w:rPr>
          <w:color w:val="000000" w:themeColor="text1"/>
          <w:sz w:val="28"/>
          <w:szCs w:val="28"/>
        </w:rPr>
        <w:t>3,3</w:t>
      </w:r>
      <w:r w:rsidR="0082779A" w:rsidRPr="002419AD">
        <w:rPr>
          <w:color w:val="000000" w:themeColor="text1"/>
          <w:sz w:val="28"/>
          <w:szCs w:val="28"/>
        </w:rPr>
        <w:t>%)</w:t>
      </w:r>
      <w:r w:rsidR="00AD0967">
        <w:rPr>
          <w:color w:val="000000" w:themeColor="text1"/>
          <w:sz w:val="28"/>
          <w:szCs w:val="28"/>
        </w:rPr>
        <w:t xml:space="preserve"> и 1 погиб (+100%)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C27589">
        <w:rPr>
          <w:color w:val="000000" w:themeColor="text1"/>
          <w:sz w:val="28"/>
          <w:szCs w:val="28"/>
        </w:rPr>
        <w:t>2</w:t>
      </w:r>
      <w:r w:rsidR="001D629F">
        <w:rPr>
          <w:color w:val="000000" w:themeColor="text1"/>
          <w:sz w:val="28"/>
          <w:szCs w:val="28"/>
        </w:rPr>
        <w:t>5</w:t>
      </w:r>
      <w:r w:rsidR="00751029">
        <w:rPr>
          <w:color w:val="000000" w:themeColor="text1"/>
          <w:sz w:val="28"/>
          <w:szCs w:val="28"/>
        </w:rPr>
        <w:t xml:space="preserve"> происшестви</w:t>
      </w:r>
      <w:r w:rsidR="001D629F">
        <w:rPr>
          <w:color w:val="000000" w:themeColor="text1"/>
          <w:sz w:val="28"/>
          <w:szCs w:val="28"/>
        </w:rPr>
        <w:t>й</w:t>
      </w:r>
      <w:r w:rsidR="00751029">
        <w:rPr>
          <w:color w:val="000000" w:themeColor="text1"/>
          <w:sz w:val="28"/>
          <w:szCs w:val="28"/>
        </w:rPr>
        <w:t xml:space="preserve">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4746AF">
        <w:rPr>
          <w:sz w:val="28"/>
          <w:szCs w:val="28"/>
        </w:rPr>
        <w:t xml:space="preserve">Участниками каждого второго </w:t>
      </w:r>
      <w:r w:rsidR="002419AD" w:rsidRPr="004746AF">
        <w:rPr>
          <w:sz w:val="28"/>
          <w:szCs w:val="28"/>
        </w:rPr>
        <w:t>ДТП</w:t>
      </w:r>
      <w:r w:rsidR="0082779A" w:rsidRPr="004746AF">
        <w:rPr>
          <w:sz w:val="28"/>
          <w:szCs w:val="28"/>
        </w:rPr>
        <w:t xml:space="preserve"> (</w:t>
      </w:r>
      <w:r w:rsidR="004746AF" w:rsidRPr="004746AF">
        <w:rPr>
          <w:sz w:val="28"/>
          <w:szCs w:val="28"/>
        </w:rPr>
        <w:t>2</w:t>
      </w:r>
      <w:r w:rsidR="001D629F">
        <w:rPr>
          <w:sz w:val="28"/>
          <w:szCs w:val="28"/>
        </w:rPr>
        <w:t>4</w:t>
      </w:r>
      <w:r w:rsidR="0082779A" w:rsidRPr="004746AF">
        <w:rPr>
          <w:sz w:val="28"/>
          <w:szCs w:val="28"/>
        </w:rPr>
        <w:t xml:space="preserve">) стали дети-велосипедисты в возрасте </w:t>
      </w:r>
      <w:r w:rsidR="00786089" w:rsidRPr="004746AF">
        <w:rPr>
          <w:sz w:val="28"/>
          <w:szCs w:val="28"/>
        </w:rPr>
        <w:t>10</w:t>
      </w:r>
      <w:r w:rsidR="0082779A" w:rsidRPr="004746AF">
        <w:rPr>
          <w:sz w:val="28"/>
          <w:szCs w:val="28"/>
        </w:rPr>
        <w:t>-</w:t>
      </w:r>
      <w:r w:rsidR="002419AD" w:rsidRPr="004746AF">
        <w:rPr>
          <w:sz w:val="28"/>
          <w:szCs w:val="28"/>
        </w:rPr>
        <w:t>1</w:t>
      </w:r>
      <w:r w:rsidR="00786089" w:rsidRPr="004746AF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1D629F">
        <w:rPr>
          <w:sz w:val="28"/>
          <w:szCs w:val="28"/>
        </w:rPr>
        <w:t>9</w:t>
      </w:r>
      <w:r w:rsidR="00786089" w:rsidRPr="004746AF">
        <w:rPr>
          <w:sz w:val="28"/>
          <w:szCs w:val="28"/>
        </w:rPr>
        <w:t xml:space="preserve"> ДТП, </w:t>
      </w:r>
      <w:r w:rsidR="001D629F">
        <w:rPr>
          <w:sz w:val="28"/>
          <w:szCs w:val="28"/>
        </w:rPr>
        <w:t>9</w:t>
      </w:r>
      <w:r w:rsidR="00786089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, </w:t>
      </w:r>
      <w:r w:rsidR="00786089" w:rsidRPr="004746AF">
        <w:rPr>
          <w:sz w:val="28"/>
          <w:szCs w:val="28"/>
        </w:rPr>
        <w:t>10-11</w:t>
      </w:r>
      <w:r w:rsidR="001D629F">
        <w:rPr>
          <w:sz w:val="28"/>
          <w:szCs w:val="28"/>
        </w:rPr>
        <w:t xml:space="preserve"> </w:t>
      </w:r>
      <w:r w:rsidR="001D629F" w:rsidRPr="004746AF">
        <w:rPr>
          <w:sz w:val="28"/>
          <w:szCs w:val="28"/>
        </w:rPr>
        <w:t>(</w:t>
      </w:r>
      <w:r w:rsidR="001D629F">
        <w:rPr>
          <w:sz w:val="28"/>
          <w:szCs w:val="28"/>
        </w:rPr>
        <w:t>5</w:t>
      </w:r>
      <w:r w:rsidR="001D629F" w:rsidRPr="004746AF">
        <w:rPr>
          <w:sz w:val="28"/>
          <w:szCs w:val="28"/>
        </w:rPr>
        <w:t xml:space="preserve"> ДТП, </w:t>
      </w:r>
      <w:r w:rsidR="001D629F">
        <w:rPr>
          <w:sz w:val="28"/>
          <w:szCs w:val="28"/>
        </w:rPr>
        <w:t>5</w:t>
      </w:r>
      <w:r w:rsidR="001D629F" w:rsidRPr="004746AF">
        <w:rPr>
          <w:sz w:val="28"/>
          <w:szCs w:val="28"/>
        </w:rPr>
        <w:t xml:space="preserve"> ранены)</w:t>
      </w:r>
      <w:r w:rsidR="00C27589" w:rsidRPr="004746AF">
        <w:rPr>
          <w:sz w:val="28"/>
          <w:szCs w:val="28"/>
        </w:rPr>
        <w:t xml:space="preserve"> и 13-14 лет</w:t>
      </w:r>
      <w:r w:rsidR="00786089" w:rsidRPr="004746AF">
        <w:rPr>
          <w:sz w:val="28"/>
          <w:szCs w:val="28"/>
        </w:rPr>
        <w:t xml:space="preserve"> (</w:t>
      </w:r>
      <w:r w:rsidR="00C27589" w:rsidRPr="004746AF">
        <w:rPr>
          <w:sz w:val="28"/>
          <w:szCs w:val="28"/>
        </w:rPr>
        <w:t xml:space="preserve">по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ДТП, </w:t>
      </w:r>
      <w:r w:rsidR="004746AF" w:rsidRPr="004746AF">
        <w:rPr>
          <w:sz w:val="28"/>
          <w:szCs w:val="28"/>
        </w:rPr>
        <w:t>4</w:t>
      </w:r>
      <w:r w:rsidR="00786089" w:rsidRPr="004746AF">
        <w:rPr>
          <w:sz w:val="28"/>
          <w:szCs w:val="28"/>
        </w:rPr>
        <w:t xml:space="preserve"> ранены).  </w:t>
      </w:r>
      <w:r w:rsidR="00751029" w:rsidRPr="004746AF">
        <w:rPr>
          <w:sz w:val="28"/>
          <w:szCs w:val="28"/>
        </w:rPr>
        <w:t xml:space="preserve">На </w:t>
      </w:r>
      <w:r w:rsidR="00786089" w:rsidRPr="004746AF">
        <w:rPr>
          <w:sz w:val="28"/>
          <w:szCs w:val="28"/>
        </w:rPr>
        <w:t>1</w:t>
      </w:r>
      <w:r w:rsidR="00751029" w:rsidRPr="004746AF">
        <w:rPr>
          <w:sz w:val="28"/>
          <w:szCs w:val="28"/>
        </w:rPr>
        <w:t>00% (</w:t>
      </w:r>
      <w:r w:rsidR="00C27589" w:rsidRPr="004746AF">
        <w:rPr>
          <w:sz w:val="28"/>
          <w:szCs w:val="28"/>
        </w:rPr>
        <w:t>5</w:t>
      </w:r>
      <w:r w:rsidR="00751029" w:rsidRPr="004746AF">
        <w:rPr>
          <w:sz w:val="28"/>
          <w:szCs w:val="28"/>
        </w:rPr>
        <w:t xml:space="preserve">) отмечается рост количества ДТП с участием </w:t>
      </w:r>
      <w:r w:rsidR="00786089" w:rsidRPr="004746AF">
        <w:rPr>
          <w:sz w:val="28"/>
          <w:szCs w:val="28"/>
        </w:rPr>
        <w:t>юных велосипедистов</w:t>
      </w:r>
      <w:r w:rsidR="00751029" w:rsidRPr="004746AF">
        <w:rPr>
          <w:sz w:val="28"/>
          <w:szCs w:val="28"/>
        </w:rPr>
        <w:t xml:space="preserve"> в возрасте </w:t>
      </w:r>
      <w:r w:rsidR="00786089" w:rsidRPr="004746AF">
        <w:rPr>
          <w:sz w:val="28"/>
          <w:szCs w:val="28"/>
        </w:rPr>
        <w:t>4</w:t>
      </w:r>
      <w:r w:rsidR="00751029" w:rsidRPr="004746AF">
        <w:rPr>
          <w:sz w:val="28"/>
          <w:szCs w:val="28"/>
        </w:rPr>
        <w:t>-</w:t>
      </w:r>
      <w:r w:rsidR="00786089" w:rsidRPr="004746AF">
        <w:rPr>
          <w:sz w:val="28"/>
          <w:szCs w:val="28"/>
        </w:rPr>
        <w:t>6</w:t>
      </w:r>
      <w:r w:rsidR="00751029" w:rsidRPr="004746AF">
        <w:rPr>
          <w:sz w:val="28"/>
          <w:szCs w:val="28"/>
        </w:rPr>
        <w:t xml:space="preserve"> лет.</w:t>
      </w:r>
      <w:r w:rsidR="0082779A" w:rsidRPr="004746AF">
        <w:rPr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C27589">
        <w:rPr>
          <w:color w:val="000000" w:themeColor="text1"/>
          <w:sz w:val="28"/>
          <w:szCs w:val="28"/>
        </w:rPr>
        <w:t>10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1D629F">
        <w:rPr>
          <w:color w:val="000000" w:themeColor="text1"/>
          <w:sz w:val="28"/>
          <w:szCs w:val="28"/>
        </w:rPr>
        <w:t>4</w:t>
      </w:r>
      <w:r w:rsidR="00786089">
        <w:rPr>
          <w:color w:val="000000" w:themeColor="text1"/>
          <w:sz w:val="28"/>
          <w:szCs w:val="28"/>
        </w:rPr>
        <w:t>; +</w:t>
      </w:r>
      <w:r w:rsidR="001D629F">
        <w:rPr>
          <w:color w:val="000000" w:themeColor="text1"/>
          <w:sz w:val="28"/>
          <w:szCs w:val="28"/>
        </w:rPr>
        <w:t>150</w:t>
      </w:r>
      <w:r w:rsidR="00786089">
        <w:rPr>
          <w:color w:val="000000" w:themeColor="text1"/>
          <w:sz w:val="28"/>
          <w:szCs w:val="28"/>
        </w:rPr>
        <w:t>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C27589">
        <w:rPr>
          <w:color w:val="000000" w:themeColor="text1"/>
          <w:sz w:val="28"/>
          <w:szCs w:val="28"/>
        </w:rPr>
        <w:t>10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1D629F">
        <w:rPr>
          <w:color w:val="000000" w:themeColor="text1"/>
          <w:sz w:val="28"/>
          <w:szCs w:val="28"/>
        </w:rPr>
        <w:t>3</w:t>
      </w:r>
      <w:r w:rsidR="00786089">
        <w:rPr>
          <w:color w:val="000000" w:themeColor="text1"/>
          <w:sz w:val="28"/>
          <w:szCs w:val="28"/>
        </w:rPr>
        <w:t xml:space="preserve">; </w:t>
      </w:r>
      <w:r w:rsidR="002F7BE0">
        <w:rPr>
          <w:color w:val="000000" w:themeColor="text1"/>
          <w:sz w:val="28"/>
          <w:szCs w:val="28"/>
        </w:rPr>
        <w:t>+</w:t>
      </w:r>
      <w:r w:rsidR="001D629F">
        <w:rPr>
          <w:color w:val="000000" w:themeColor="text1"/>
          <w:sz w:val="28"/>
          <w:szCs w:val="28"/>
        </w:rPr>
        <w:t>233,3</w:t>
      </w:r>
      <w:r w:rsidRPr="00991162">
        <w:rPr>
          <w:color w:val="000000" w:themeColor="text1"/>
          <w:sz w:val="28"/>
          <w:szCs w:val="28"/>
        </w:rPr>
        <w:t>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0A4DD7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393065</wp:posOffset>
            </wp:positionV>
            <wp:extent cx="5800725" cy="2469515"/>
            <wp:effectExtent l="0" t="0" r="9525" b="6985"/>
            <wp:wrapTight wrapText="bothSides">
              <wp:wrapPolygon edited="0">
                <wp:start x="0" y="0"/>
                <wp:lineTo x="0" y="21494"/>
                <wp:lineTo x="21565" y="21494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C7398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1D629F">
        <w:rPr>
          <w:color w:val="000000" w:themeColor="text1"/>
          <w:sz w:val="28"/>
          <w:szCs w:val="28"/>
        </w:rPr>
        <w:t>94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D95941">
        <w:rPr>
          <w:color w:val="000000" w:themeColor="text1"/>
          <w:sz w:val="28"/>
          <w:szCs w:val="28"/>
        </w:rPr>
        <w:t>2</w:t>
      </w:r>
      <w:r w:rsidR="00FC00B2">
        <w:rPr>
          <w:color w:val="000000" w:themeColor="text1"/>
          <w:sz w:val="28"/>
          <w:szCs w:val="28"/>
        </w:rPr>
        <w:t>72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</w:t>
      </w:r>
      <w:r w:rsidR="00C7398B">
        <w:rPr>
          <w:color w:val="000000" w:themeColor="text1"/>
          <w:sz w:val="28"/>
          <w:szCs w:val="28"/>
        </w:rPr>
        <w:t xml:space="preserve">в </w:t>
      </w:r>
      <w:r w:rsidRPr="0029425E">
        <w:rPr>
          <w:color w:val="000000" w:themeColor="text1"/>
          <w:sz w:val="28"/>
          <w:szCs w:val="28"/>
        </w:rPr>
        <w:t>Екатеринбург</w:t>
      </w:r>
      <w:r w:rsidR="00C7398B">
        <w:rPr>
          <w:color w:val="000000" w:themeColor="text1"/>
          <w:sz w:val="28"/>
          <w:szCs w:val="28"/>
        </w:rPr>
        <w:t>е</w:t>
      </w:r>
      <w:r w:rsidRPr="0029425E">
        <w:rPr>
          <w:color w:val="000000" w:themeColor="text1"/>
          <w:sz w:val="28"/>
          <w:szCs w:val="28"/>
        </w:rPr>
        <w:t xml:space="preserve"> </w:t>
      </w:r>
      <w:r w:rsidRPr="0029425E">
        <w:rPr>
          <w:color w:val="000000" w:themeColor="text1"/>
          <w:sz w:val="28"/>
          <w:szCs w:val="28"/>
        </w:rPr>
        <w:br/>
      </w:r>
      <w:r w:rsidR="00C7398B">
        <w:rPr>
          <w:color w:val="000000" w:themeColor="text1"/>
          <w:sz w:val="28"/>
          <w:szCs w:val="28"/>
        </w:rPr>
        <w:lastRenderedPageBreak/>
        <w:t>4</w:t>
      </w:r>
      <w:r w:rsidR="00FC00B2">
        <w:rPr>
          <w:color w:val="000000" w:themeColor="text1"/>
          <w:sz w:val="28"/>
          <w:szCs w:val="28"/>
        </w:rPr>
        <w:t>7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FC00B2">
        <w:rPr>
          <w:color w:val="000000" w:themeColor="text1"/>
          <w:sz w:val="28"/>
          <w:szCs w:val="28"/>
        </w:rPr>
        <w:t>4</w:t>
      </w:r>
      <w:r w:rsidR="00D95941">
        <w:rPr>
          <w:color w:val="000000" w:themeColor="text1"/>
          <w:sz w:val="28"/>
          <w:szCs w:val="28"/>
        </w:rPr>
        <w:t>,</w:t>
      </w:r>
      <w:r w:rsidR="00FC00B2">
        <w:rPr>
          <w:color w:val="000000" w:themeColor="text1"/>
          <w:sz w:val="28"/>
          <w:szCs w:val="28"/>
        </w:rPr>
        <w:t>4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</w:t>
      </w:r>
      <w:r w:rsidR="00FC00B2">
        <w:rPr>
          <w:color w:val="000000" w:themeColor="text1"/>
          <w:sz w:val="28"/>
          <w:szCs w:val="28"/>
        </w:rPr>
        <w:t xml:space="preserve">в </w:t>
      </w:r>
      <w:r w:rsidR="00D95941">
        <w:rPr>
          <w:color w:val="000000" w:themeColor="text1"/>
          <w:sz w:val="28"/>
          <w:szCs w:val="28"/>
        </w:rPr>
        <w:t xml:space="preserve">Нижнем Тагиле </w:t>
      </w:r>
      <w:r w:rsidR="00FC00B2">
        <w:rPr>
          <w:color w:val="000000" w:themeColor="text1"/>
          <w:sz w:val="28"/>
          <w:szCs w:val="28"/>
        </w:rPr>
        <w:t>9</w:t>
      </w:r>
      <w:r w:rsidR="00D95941">
        <w:rPr>
          <w:color w:val="000000" w:themeColor="text1"/>
          <w:sz w:val="28"/>
          <w:szCs w:val="28"/>
        </w:rPr>
        <w:t xml:space="preserve"> ДТП (+</w:t>
      </w:r>
      <w:r w:rsidR="00FC00B2">
        <w:rPr>
          <w:color w:val="000000" w:themeColor="text1"/>
          <w:sz w:val="28"/>
          <w:szCs w:val="28"/>
        </w:rPr>
        <w:t>200</w:t>
      </w:r>
      <w:r w:rsidR="00D95941">
        <w:rPr>
          <w:color w:val="000000" w:themeColor="text1"/>
          <w:sz w:val="28"/>
          <w:szCs w:val="28"/>
        </w:rPr>
        <w:t xml:space="preserve">%), в </w:t>
      </w:r>
      <w:r w:rsidR="00C245DC">
        <w:rPr>
          <w:color w:val="000000" w:themeColor="text1"/>
          <w:sz w:val="28"/>
          <w:szCs w:val="28"/>
        </w:rPr>
        <w:t>Сысерстком районе</w:t>
      </w:r>
      <w:r w:rsidR="00FC00B2">
        <w:rPr>
          <w:color w:val="000000" w:themeColor="text1"/>
          <w:sz w:val="28"/>
          <w:szCs w:val="28"/>
        </w:rPr>
        <w:t xml:space="preserve"> и</w:t>
      </w:r>
      <w:r w:rsidR="00C245DC">
        <w:rPr>
          <w:color w:val="000000" w:themeColor="text1"/>
          <w:sz w:val="28"/>
          <w:szCs w:val="28"/>
        </w:rPr>
        <w:t xml:space="preserve"> </w:t>
      </w:r>
      <w:r w:rsidR="00FC00B2">
        <w:rPr>
          <w:color w:val="000000" w:themeColor="text1"/>
          <w:sz w:val="28"/>
          <w:szCs w:val="28"/>
        </w:rPr>
        <w:t xml:space="preserve">Каменске-Уральском по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</w:t>
      </w:r>
      <w:r w:rsidR="00FC00B2">
        <w:rPr>
          <w:color w:val="000000" w:themeColor="text1"/>
          <w:sz w:val="28"/>
          <w:szCs w:val="28"/>
        </w:rPr>
        <w:t>1</w:t>
      </w:r>
      <w:r w:rsidR="00C245DC">
        <w:rPr>
          <w:color w:val="000000" w:themeColor="text1"/>
          <w:sz w:val="28"/>
          <w:szCs w:val="28"/>
        </w:rPr>
        <w:t>00%),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Серов 3 ДТП (+200%),</w:t>
      </w:r>
      <w:r w:rsidR="00C7398B">
        <w:rPr>
          <w:color w:val="000000" w:themeColor="text1"/>
          <w:sz w:val="28"/>
          <w:szCs w:val="28"/>
        </w:rPr>
        <w:t xml:space="preserve"> Заречный 3 ДТП (уровень АППГ</w:t>
      </w:r>
      <w:r w:rsidR="00FB454A">
        <w:rPr>
          <w:color w:val="000000" w:themeColor="text1"/>
          <w:sz w:val="28"/>
          <w:szCs w:val="28"/>
        </w:rPr>
        <w:t>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Алапаевском, </w:t>
      </w:r>
      <w:r w:rsidR="00FB454A">
        <w:rPr>
          <w:color w:val="000000" w:themeColor="text1"/>
          <w:sz w:val="28"/>
          <w:szCs w:val="28"/>
        </w:rPr>
        <w:t>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r w:rsidR="00C245DC">
        <w:rPr>
          <w:color w:val="000000" w:themeColor="text1"/>
          <w:sz w:val="28"/>
          <w:szCs w:val="28"/>
        </w:rPr>
        <w:t xml:space="preserve">Верхнесалдинском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</w:t>
      </w:r>
      <w:r w:rsidR="00D95941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Невьянске</w:t>
      </w:r>
      <w:r w:rsidR="00D95941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Полевском</w:t>
      </w:r>
      <w:r w:rsidR="00FC00B2">
        <w:rPr>
          <w:color w:val="000000" w:themeColor="text1"/>
          <w:sz w:val="28"/>
          <w:szCs w:val="28"/>
        </w:rPr>
        <w:t xml:space="preserve"> и</w:t>
      </w:r>
      <w:r w:rsidR="00D95941">
        <w:rPr>
          <w:color w:val="000000" w:themeColor="text1"/>
          <w:sz w:val="28"/>
          <w:szCs w:val="28"/>
        </w:rPr>
        <w:t xml:space="preserve"> Красноуфимске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C7398B">
        <w:rPr>
          <w:color w:val="000000" w:themeColor="text1"/>
          <w:sz w:val="28"/>
          <w:szCs w:val="28"/>
        </w:rPr>
        <w:t>,</w:t>
      </w:r>
      <w:r w:rsidR="00D95941"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r w:rsidR="00435660">
        <w:rPr>
          <w:color w:val="000000" w:themeColor="text1"/>
          <w:sz w:val="28"/>
          <w:szCs w:val="28"/>
        </w:rPr>
        <w:t>Верхнепышминском район</w:t>
      </w:r>
      <w:r w:rsidR="00C7398B">
        <w:rPr>
          <w:color w:val="000000" w:themeColor="text1"/>
          <w:sz w:val="28"/>
          <w:szCs w:val="28"/>
        </w:rPr>
        <w:t>е</w:t>
      </w:r>
      <w:r w:rsidR="00435660">
        <w:rPr>
          <w:color w:val="000000" w:themeColor="text1"/>
          <w:sz w:val="28"/>
          <w:szCs w:val="28"/>
        </w:rPr>
        <w:t>, Асбесте,</w:t>
      </w:r>
      <w:r w:rsidR="00C7398B">
        <w:rPr>
          <w:color w:val="000000" w:themeColor="text1"/>
          <w:sz w:val="28"/>
          <w:szCs w:val="28"/>
        </w:rPr>
        <w:t xml:space="preserve"> Кировграде,</w:t>
      </w:r>
      <w:r w:rsidR="00435660">
        <w:rPr>
          <w:color w:val="000000" w:themeColor="text1"/>
          <w:sz w:val="28"/>
          <w:szCs w:val="28"/>
        </w:rPr>
        <w:t xml:space="preserve"> Кушве,</w:t>
      </w:r>
      <w:r w:rsidR="00C7398B">
        <w:rPr>
          <w:color w:val="000000" w:themeColor="text1"/>
          <w:sz w:val="28"/>
          <w:szCs w:val="28"/>
        </w:rPr>
        <w:t xml:space="preserve"> Лесном</w:t>
      </w:r>
      <w:r w:rsidR="00435660">
        <w:rPr>
          <w:color w:val="000000" w:themeColor="text1"/>
          <w:sz w:val="28"/>
          <w:szCs w:val="28"/>
        </w:rPr>
        <w:t xml:space="preserve"> </w:t>
      </w:r>
      <w:r w:rsidR="00435660" w:rsidRPr="0029425E">
        <w:rPr>
          <w:color w:val="000000" w:themeColor="text1"/>
          <w:sz w:val="28"/>
          <w:szCs w:val="28"/>
        </w:rPr>
        <w:t>(+100%)</w:t>
      </w:r>
      <w:r w:rsidR="00FC00B2">
        <w:rPr>
          <w:color w:val="000000" w:themeColor="text1"/>
          <w:sz w:val="28"/>
          <w:szCs w:val="28"/>
        </w:rPr>
        <w:t>,</w:t>
      </w:r>
      <w:r w:rsidR="00C7398B">
        <w:rPr>
          <w:color w:val="000000" w:themeColor="text1"/>
          <w:sz w:val="28"/>
          <w:szCs w:val="28"/>
        </w:rPr>
        <w:t xml:space="preserve"> Талице</w:t>
      </w:r>
      <w:r w:rsidR="00FC00B2">
        <w:rPr>
          <w:color w:val="000000" w:themeColor="text1"/>
          <w:sz w:val="28"/>
          <w:szCs w:val="28"/>
        </w:rPr>
        <w:t xml:space="preserve"> и Богдановиче</w:t>
      </w:r>
      <w:r w:rsidR="00C7398B">
        <w:rPr>
          <w:color w:val="000000" w:themeColor="text1"/>
          <w:sz w:val="28"/>
          <w:szCs w:val="28"/>
        </w:rPr>
        <w:t xml:space="preserve"> (уровень АППГ). В</w:t>
      </w:r>
      <w:r w:rsidR="00435660">
        <w:rPr>
          <w:color w:val="000000" w:themeColor="text1"/>
          <w:sz w:val="28"/>
          <w:szCs w:val="28"/>
        </w:rPr>
        <w:t xml:space="preserve"> </w:t>
      </w:r>
      <w:r w:rsidR="00C7398B">
        <w:rPr>
          <w:color w:val="000000" w:themeColor="text1"/>
          <w:sz w:val="28"/>
          <w:szCs w:val="28"/>
        </w:rPr>
        <w:t xml:space="preserve">Березовском 2 </w:t>
      </w:r>
      <w:r w:rsidR="00C7398B" w:rsidRPr="00624885">
        <w:rPr>
          <w:sz w:val="28"/>
          <w:szCs w:val="28"/>
        </w:rPr>
        <w:t xml:space="preserve">ДТП (-33,3%), </w:t>
      </w:r>
      <w:r w:rsidR="00FB454A" w:rsidRPr="00624885">
        <w:rPr>
          <w:sz w:val="28"/>
          <w:szCs w:val="28"/>
        </w:rPr>
        <w:t>Первоуральске</w:t>
      </w:r>
      <w:r w:rsidR="00C7398B" w:rsidRPr="00624885">
        <w:rPr>
          <w:sz w:val="28"/>
          <w:szCs w:val="28"/>
        </w:rPr>
        <w:t xml:space="preserve"> 1 ДТП</w:t>
      </w:r>
      <w:r w:rsidR="002F0581" w:rsidRPr="00624885">
        <w:rPr>
          <w:sz w:val="28"/>
          <w:szCs w:val="28"/>
        </w:rPr>
        <w:t xml:space="preserve"> (-50%)</w:t>
      </w:r>
      <w:r w:rsidR="00C245DC" w:rsidRPr="00624885">
        <w:rPr>
          <w:sz w:val="28"/>
          <w:szCs w:val="28"/>
        </w:rPr>
        <w:t xml:space="preserve">, </w:t>
      </w:r>
      <w:r w:rsidR="00435660" w:rsidRPr="00624885">
        <w:rPr>
          <w:sz w:val="28"/>
          <w:szCs w:val="28"/>
        </w:rPr>
        <w:t>Артинском районе</w:t>
      </w:r>
      <w:r w:rsidR="00C7398B" w:rsidRPr="00624885">
        <w:rPr>
          <w:sz w:val="28"/>
          <w:szCs w:val="28"/>
        </w:rPr>
        <w:t xml:space="preserve"> 1 ДТП</w:t>
      </w:r>
      <w:r w:rsidR="00435660" w:rsidRPr="00624885">
        <w:rPr>
          <w:sz w:val="28"/>
          <w:szCs w:val="28"/>
        </w:rPr>
        <w:t xml:space="preserve"> (-66,7%), Краснотурьинском районе</w:t>
      </w:r>
      <w:r w:rsidR="00C7398B" w:rsidRPr="00624885">
        <w:rPr>
          <w:sz w:val="28"/>
          <w:szCs w:val="28"/>
        </w:rPr>
        <w:t xml:space="preserve"> 1 ДТП (-75%). </w:t>
      </w:r>
      <w:r w:rsidRPr="00624885">
        <w:rPr>
          <w:sz w:val="28"/>
          <w:szCs w:val="28"/>
        </w:rPr>
        <w:t xml:space="preserve">Основными нарушениями ПДД РФ, допущенными юными пешеходами, стали </w:t>
      </w:r>
      <w:r w:rsidR="0029425E" w:rsidRPr="00624885">
        <w:rPr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 w:rsidRPr="00624885">
        <w:rPr>
          <w:sz w:val="28"/>
          <w:szCs w:val="28"/>
        </w:rPr>
        <w:t>1</w:t>
      </w:r>
      <w:r w:rsidR="00160476">
        <w:rPr>
          <w:sz w:val="28"/>
          <w:szCs w:val="28"/>
        </w:rPr>
        <w:t>9</w:t>
      </w:r>
      <w:r w:rsidR="0029425E" w:rsidRPr="00624885">
        <w:rPr>
          <w:sz w:val="28"/>
          <w:szCs w:val="28"/>
        </w:rPr>
        <w:t xml:space="preserve">), </w:t>
      </w:r>
      <w:r w:rsidRPr="00624885">
        <w:rPr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 w:rsidRPr="00624885">
        <w:rPr>
          <w:sz w:val="28"/>
          <w:szCs w:val="28"/>
        </w:rPr>
        <w:t>, перекрестка</w:t>
      </w:r>
      <w:r w:rsidRPr="00624885">
        <w:rPr>
          <w:sz w:val="28"/>
          <w:szCs w:val="28"/>
        </w:rPr>
        <w:t xml:space="preserve"> (</w:t>
      </w:r>
      <w:r w:rsidR="00624885" w:rsidRPr="00624885">
        <w:rPr>
          <w:sz w:val="28"/>
          <w:szCs w:val="28"/>
        </w:rPr>
        <w:t>2</w:t>
      </w:r>
      <w:r w:rsidR="00160476">
        <w:rPr>
          <w:sz w:val="28"/>
          <w:szCs w:val="28"/>
        </w:rPr>
        <w:t>2</w:t>
      </w:r>
      <w:r w:rsidRPr="00624885">
        <w:rPr>
          <w:sz w:val="28"/>
          <w:szCs w:val="28"/>
        </w:rPr>
        <w:t>), неподчинение сигналам регулирования (</w:t>
      </w:r>
      <w:r w:rsidR="00CB797F" w:rsidRPr="00624885">
        <w:rPr>
          <w:sz w:val="28"/>
          <w:szCs w:val="28"/>
        </w:rPr>
        <w:t>1</w:t>
      </w:r>
      <w:r w:rsidR="00160476">
        <w:rPr>
          <w:sz w:val="28"/>
          <w:szCs w:val="28"/>
        </w:rPr>
        <w:t>3</w:t>
      </w:r>
      <w:r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 xml:space="preserve">; </w:t>
      </w:r>
      <w:r w:rsidR="00B76839" w:rsidRPr="00624885">
        <w:rPr>
          <w:sz w:val="28"/>
          <w:szCs w:val="28"/>
        </w:rPr>
        <w:t>юным</w:t>
      </w:r>
      <w:r w:rsidR="004537DD" w:rsidRPr="00624885">
        <w:rPr>
          <w:sz w:val="28"/>
          <w:szCs w:val="28"/>
        </w:rPr>
        <w:t>и</w:t>
      </w:r>
      <w:r w:rsidR="00B76839" w:rsidRPr="00624885">
        <w:rPr>
          <w:sz w:val="28"/>
          <w:szCs w:val="28"/>
        </w:rPr>
        <w:t xml:space="preserve"> водител</w:t>
      </w:r>
      <w:r w:rsidR="004537DD" w:rsidRPr="00624885">
        <w:rPr>
          <w:sz w:val="28"/>
          <w:szCs w:val="28"/>
        </w:rPr>
        <w:t>ями</w:t>
      </w:r>
      <w:r w:rsidR="00B76839" w:rsidRPr="00624885">
        <w:rPr>
          <w:sz w:val="28"/>
          <w:szCs w:val="28"/>
        </w:rPr>
        <w:t xml:space="preserve"> автотранспорта</w:t>
      </w:r>
      <w:r w:rsidR="004537DD" w:rsidRPr="00624885">
        <w:rPr>
          <w:sz w:val="28"/>
          <w:szCs w:val="28"/>
        </w:rPr>
        <w:t xml:space="preserve"> и мототранспорта</w:t>
      </w:r>
      <w:r w:rsidR="00B76839" w:rsidRPr="00624885">
        <w:rPr>
          <w:sz w:val="28"/>
          <w:szCs w:val="28"/>
        </w:rPr>
        <w:t>: выезд на встречную полосу</w:t>
      </w:r>
      <w:r w:rsidR="007F07CF" w:rsidRPr="00624885">
        <w:rPr>
          <w:sz w:val="28"/>
          <w:szCs w:val="28"/>
        </w:rPr>
        <w:t xml:space="preserve"> (1)</w:t>
      </w:r>
      <w:r w:rsidR="004537DD" w:rsidRPr="00624885">
        <w:rPr>
          <w:sz w:val="28"/>
          <w:szCs w:val="28"/>
        </w:rPr>
        <w:t>, несоблюдение дистанции</w:t>
      </w:r>
      <w:r w:rsidR="007F07CF" w:rsidRPr="00624885">
        <w:rPr>
          <w:sz w:val="28"/>
          <w:szCs w:val="28"/>
        </w:rPr>
        <w:t xml:space="preserve"> (1)</w:t>
      </w:r>
      <w:r w:rsidR="00B76839" w:rsidRPr="00624885">
        <w:rPr>
          <w:sz w:val="28"/>
          <w:szCs w:val="28"/>
        </w:rPr>
        <w:t xml:space="preserve"> и управление </w:t>
      </w:r>
      <w:r w:rsidR="004537DD" w:rsidRPr="00624885">
        <w:rPr>
          <w:sz w:val="28"/>
          <w:szCs w:val="28"/>
        </w:rPr>
        <w:t>транспортным средством</w:t>
      </w:r>
      <w:r w:rsidR="00B76839" w:rsidRPr="00624885">
        <w:rPr>
          <w:sz w:val="28"/>
          <w:szCs w:val="28"/>
        </w:rPr>
        <w:t>, не имея права управления</w:t>
      </w:r>
      <w:r w:rsidR="007F07CF" w:rsidRPr="00624885">
        <w:rPr>
          <w:sz w:val="28"/>
          <w:szCs w:val="28"/>
        </w:rPr>
        <w:t xml:space="preserve"> (</w:t>
      </w:r>
      <w:r w:rsidR="00FB454A" w:rsidRPr="00624885">
        <w:rPr>
          <w:sz w:val="28"/>
          <w:szCs w:val="28"/>
        </w:rPr>
        <w:t>8</w:t>
      </w:r>
      <w:r w:rsidR="007F07CF" w:rsidRPr="00624885">
        <w:rPr>
          <w:sz w:val="28"/>
          <w:szCs w:val="28"/>
        </w:rPr>
        <w:t>)</w:t>
      </w:r>
      <w:r w:rsidR="004537DD" w:rsidRPr="00624885">
        <w:rPr>
          <w:sz w:val="28"/>
          <w:szCs w:val="28"/>
        </w:rPr>
        <w:t>; юными в</w:t>
      </w:r>
      <w:r w:rsidR="00C245DC" w:rsidRPr="00624885">
        <w:rPr>
          <w:sz w:val="28"/>
          <w:szCs w:val="28"/>
        </w:rPr>
        <w:t>елосипедистами - несоблюдение очередности проезда (</w:t>
      </w:r>
      <w:r w:rsidR="00624885" w:rsidRPr="00624885">
        <w:rPr>
          <w:sz w:val="28"/>
          <w:szCs w:val="28"/>
        </w:rPr>
        <w:t>10</w:t>
      </w:r>
      <w:r w:rsidR="00C245DC" w:rsidRPr="00624885">
        <w:rPr>
          <w:sz w:val="28"/>
          <w:szCs w:val="28"/>
        </w:rPr>
        <w:t>), пересечение</w:t>
      </w:r>
      <w:r w:rsidR="004537DD" w:rsidRPr="00624885">
        <w:rPr>
          <w:sz w:val="28"/>
          <w:szCs w:val="28"/>
        </w:rPr>
        <w:t xml:space="preserve"> проезжей части по</w:t>
      </w:r>
      <w:r w:rsidR="00C245DC" w:rsidRPr="00624885">
        <w:rPr>
          <w:sz w:val="28"/>
          <w:szCs w:val="28"/>
        </w:rPr>
        <w:t xml:space="preserve"> пешеходно</w:t>
      </w:r>
      <w:r w:rsidR="004537DD" w:rsidRPr="00624885">
        <w:rPr>
          <w:sz w:val="28"/>
          <w:szCs w:val="28"/>
        </w:rPr>
        <w:t>му</w:t>
      </w:r>
      <w:r w:rsidR="00C245DC" w:rsidRPr="00624885">
        <w:rPr>
          <w:sz w:val="28"/>
          <w:szCs w:val="28"/>
        </w:rPr>
        <w:t xml:space="preserve"> переход</w:t>
      </w:r>
      <w:r w:rsidR="004537DD" w:rsidRPr="00624885">
        <w:rPr>
          <w:sz w:val="28"/>
          <w:szCs w:val="28"/>
        </w:rPr>
        <w:t xml:space="preserve">у </w:t>
      </w:r>
      <w:r w:rsidR="00C245DC" w:rsidRPr="00624885">
        <w:rPr>
          <w:sz w:val="28"/>
          <w:szCs w:val="28"/>
        </w:rPr>
        <w:t>не спешившись (</w:t>
      </w:r>
      <w:r w:rsidR="00160476">
        <w:rPr>
          <w:sz w:val="28"/>
          <w:szCs w:val="28"/>
        </w:rPr>
        <w:t>11</w:t>
      </w:r>
      <w:r w:rsidR="00C245DC" w:rsidRPr="00624885">
        <w:rPr>
          <w:sz w:val="28"/>
          <w:szCs w:val="28"/>
        </w:rPr>
        <w:t>)</w:t>
      </w:r>
      <w:r w:rsidR="007F07CF" w:rsidRPr="00624885">
        <w:rPr>
          <w:sz w:val="28"/>
          <w:szCs w:val="28"/>
        </w:rPr>
        <w:t>, управление при движении по проезжей части лицом моложе 14 лет (</w:t>
      </w:r>
      <w:r w:rsidR="00160476">
        <w:rPr>
          <w:sz w:val="28"/>
          <w:szCs w:val="28"/>
        </w:rPr>
        <w:t>9</w:t>
      </w:r>
      <w:r w:rsidR="007F07CF" w:rsidRPr="00624885">
        <w:rPr>
          <w:sz w:val="28"/>
          <w:szCs w:val="28"/>
        </w:rPr>
        <w:t>)</w:t>
      </w:r>
      <w:r w:rsidR="00C245DC" w:rsidRPr="00624885">
        <w:rPr>
          <w:sz w:val="28"/>
          <w:szCs w:val="28"/>
        </w:rPr>
        <w:t>.</w:t>
      </w:r>
    </w:p>
    <w:p w:rsidR="000A4DD7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160476">
        <w:rPr>
          <w:color w:val="000000" w:themeColor="text1"/>
          <w:sz w:val="28"/>
          <w:szCs w:val="28"/>
        </w:rPr>
        <w:t xml:space="preserve">МАОУ СОШ № 157, МАОУ Гимназия №176, МБОУ СОШ №127 г. Екатеринбурга, </w:t>
      </w:r>
      <w:r w:rsidR="007F07CF">
        <w:rPr>
          <w:color w:val="000000" w:themeColor="text1"/>
          <w:sz w:val="28"/>
          <w:szCs w:val="28"/>
        </w:rPr>
        <w:t xml:space="preserve">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«Прокоп-Салди</w:t>
      </w:r>
      <w:r w:rsidR="00160476">
        <w:rPr>
          <w:color w:val="000000" w:themeColor="text1"/>
          <w:sz w:val="28"/>
          <w:szCs w:val="28"/>
        </w:rPr>
        <w:t xml:space="preserve">нская СОШ» Верхотурского района, </w:t>
      </w:r>
      <w:r w:rsidR="00070F7B">
        <w:rPr>
          <w:color w:val="000000" w:themeColor="text1"/>
          <w:sz w:val="28"/>
          <w:szCs w:val="28"/>
        </w:rPr>
        <w:t>МКОУ «Средняя общеобразовательная школа №10» д. Б. Седельниково</w:t>
      </w:r>
      <w:r w:rsidR="00160476">
        <w:rPr>
          <w:color w:val="000000" w:themeColor="text1"/>
          <w:sz w:val="28"/>
          <w:szCs w:val="28"/>
        </w:rPr>
        <w:t>,</w:t>
      </w:r>
      <w:r w:rsidR="00070F7B">
        <w:rPr>
          <w:color w:val="000000" w:themeColor="text1"/>
          <w:sz w:val="28"/>
          <w:szCs w:val="28"/>
        </w:rPr>
        <w:t xml:space="preserve"> </w:t>
      </w:r>
      <w:r w:rsidR="00160476">
        <w:rPr>
          <w:color w:val="000000" w:themeColor="text1"/>
          <w:sz w:val="28"/>
          <w:szCs w:val="28"/>
        </w:rPr>
        <w:t>МАОУ СОШ №1 г. Арамиль, МАОУ СОШ №18 п. Октябрьский Сысертского района,</w:t>
      </w:r>
      <w:r w:rsidR="00624885">
        <w:rPr>
          <w:color w:val="000000" w:themeColor="text1"/>
          <w:sz w:val="28"/>
          <w:szCs w:val="28"/>
        </w:rPr>
        <w:t xml:space="preserve"> МБОУ Староуткинская СОШ №13</w:t>
      </w:r>
      <w:r w:rsidR="00160476">
        <w:rPr>
          <w:color w:val="000000" w:themeColor="text1"/>
          <w:sz w:val="28"/>
          <w:szCs w:val="28"/>
        </w:rPr>
        <w:t>, МБОШИ «Общеобразовательная школа-интернат №17 Юные спасатели» г.Верхняя Салда</w:t>
      </w:r>
      <w:r w:rsidR="000A4DD7">
        <w:rPr>
          <w:color w:val="000000" w:themeColor="text1"/>
          <w:sz w:val="28"/>
          <w:szCs w:val="28"/>
        </w:rPr>
        <w:t>.</w:t>
      </w:r>
    </w:p>
    <w:p w:rsidR="000A4DD7" w:rsidRDefault="000A4DD7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6629400" cy="3370521"/>
            <wp:effectExtent l="0" t="0" r="0" b="190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lastRenderedPageBreak/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 Продолжить регулярное патрулирование</w:t>
      </w:r>
      <w:r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несовершеннолетних пешеходов,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двигающихся с нарушением ПДД РФ, в том числе без световозвращающих элементов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Pr="000E2CE7">
        <w:rPr>
          <w:sz w:val="28"/>
          <w:szCs w:val="28"/>
        </w:rPr>
        <w:br/>
        <w:t>ПДД РФ пешеходами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 xml:space="preserve">необходимо </w:t>
      </w:r>
      <w:r w:rsidRPr="000E2CE7">
        <w:rPr>
          <w:sz w:val="28"/>
          <w:szCs w:val="28"/>
        </w:rPr>
        <w:t xml:space="preserve">обеспечить привлечение внимания участников дорожного движения к соблюдению ими требований ПДД РФ посредством </w:t>
      </w:r>
      <w:r w:rsidR="007E0C68">
        <w:rPr>
          <w:sz w:val="28"/>
          <w:szCs w:val="28"/>
        </w:rPr>
        <w:t xml:space="preserve">использования </w:t>
      </w:r>
      <w:r w:rsidRPr="000E2CE7">
        <w:rPr>
          <w:sz w:val="28"/>
          <w:szCs w:val="28"/>
        </w:rPr>
        <w:t>специальных громкоговорящих установок</w:t>
      </w:r>
      <w:r w:rsidR="007E0C68">
        <w:rPr>
          <w:sz w:val="28"/>
          <w:szCs w:val="28"/>
        </w:rPr>
        <w:t xml:space="preserve"> патрульного </w:t>
      </w:r>
      <w:r w:rsidR="00B47053">
        <w:rPr>
          <w:sz w:val="28"/>
          <w:szCs w:val="28"/>
        </w:rPr>
        <w:t>транспорта</w:t>
      </w:r>
      <w:r w:rsidRPr="000E2CE7">
        <w:rPr>
          <w:sz w:val="28"/>
          <w:szCs w:val="28"/>
        </w:rPr>
        <w:t>.</w:t>
      </w:r>
    </w:p>
    <w:p w:rsidR="00E252EF" w:rsidRPr="00DF141B" w:rsidRDefault="00E252EF" w:rsidP="00E252EF">
      <w:pPr>
        <w:ind w:left="-709" w:firstLine="567"/>
        <w:jc w:val="both"/>
        <w:rPr>
          <w:color w:val="FF0000"/>
          <w:sz w:val="28"/>
          <w:szCs w:val="28"/>
        </w:rPr>
      </w:pPr>
      <w:r w:rsidRPr="000E2CE7">
        <w:rPr>
          <w:sz w:val="28"/>
          <w:szCs w:val="28"/>
        </w:rPr>
        <w:t>Продолжить работу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по разъяснению несовершеннолетним участникам дорожного движения правил безо</w:t>
      </w:r>
      <w:r w:rsidR="008C756E">
        <w:rPr>
          <w:sz w:val="28"/>
          <w:szCs w:val="28"/>
        </w:rPr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Pr="000E2CE7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</w:t>
      </w:r>
      <w:r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Pr="00FA0436">
        <w:rPr>
          <w:color w:val="000000"/>
          <w:sz w:val="28"/>
          <w:szCs w:val="28"/>
        </w:rPr>
        <w:t>выбор</w:t>
      </w:r>
      <w:r>
        <w:rPr>
          <w:color w:val="000000"/>
          <w:sz w:val="28"/>
          <w:szCs w:val="28"/>
        </w:rPr>
        <w:t>е</w:t>
      </w:r>
      <w:r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A4DD7">
        <w:rPr>
          <w:sz w:val="28"/>
          <w:szCs w:val="28"/>
        </w:rPr>
        <w:t>зимних</w:t>
      </w:r>
      <w:r w:rsidR="0009710C">
        <w:rPr>
          <w:sz w:val="28"/>
          <w:szCs w:val="28"/>
        </w:rPr>
        <w:t xml:space="preserve"> </w:t>
      </w:r>
      <w:r w:rsidR="0009710C" w:rsidRPr="009A371E">
        <w:rPr>
          <w:sz w:val="28"/>
          <w:szCs w:val="28"/>
        </w:rPr>
        <w:t xml:space="preserve">средств </w:t>
      </w:r>
      <w:r w:rsidR="000A4DD7">
        <w:rPr>
          <w:sz w:val="28"/>
          <w:szCs w:val="28"/>
        </w:rPr>
        <w:t>передвижения</w:t>
      </w:r>
      <w:r w:rsidRPr="004746AF">
        <w:rPr>
          <w:sz w:val="28"/>
          <w:szCs w:val="28"/>
        </w:rPr>
        <w:t xml:space="preserve">.  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использованием СМИ н</w:t>
      </w:r>
      <w:r w:rsidRPr="000E2CE7">
        <w:rPr>
          <w:sz w:val="28"/>
          <w:szCs w:val="28"/>
        </w:rPr>
        <w:t xml:space="preserve">а постоянной основе проводить информирование </w:t>
      </w:r>
      <w:r>
        <w:rPr>
          <w:sz w:val="28"/>
          <w:szCs w:val="28"/>
        </w:rPr>
        <w:t>граждан</w:t>
      </w:r>
      <w:r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>
        <w:rPr>
          <w:sz w:val="28"/>
          <w:szCs w:val="28"/>
        </w:rPr>
        <w:t xml:space="preserve"> зацеперов,</w:t>
      </w:r>
      <w:r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>
        <w:rPr>
          <w:sz w:val="28"/>
          <w:szCs w:val="28"/>
        </w:rPr>
        <w:t xml:space="preserve"> нетрезвых</w:t>
      </w:r>
      <w:r w:rsidRPr="000E2CE7">
        <w:rPr>
          <w:sz w:val="28"/>
          <w:szCs w:val="28"/>
        </w:rPr>
        <w:t xml:space="preserve"> водителей, управляющих транспортным средством</w:t>
      </w:r>
      <w:r w:rsidR="007E0C68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>
        <w:rPr>
          <w:sz w:val="28"/>
          <w:szCs w:val="28"/>
        </w:rPr>
        <w:t>. Привлекать представителей СМИ</w:t>
      </w:r>
      <w:r w:rsidR="007E0C68">
        <w:rPr>
          <w:sz w:val="28"/>
          <w:szCs w:val="28"/>
        </w:rPr>
        <w:t>, блогеров, общественников</w:t>
      </w:r>
      <w:r>
        <w:rPr>
          <w:sz w:val="28"/>
          <w:szCs w:val="28"/>
        </w:rPr>
        <w:t xml:space="preserve"> для информационного сопровождения мероприятий по обеспечению безопасности дорожного движения.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маршрутам движения детей «дом-школа-дом», в</w:t>
      </w:r>
      <w:r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>
        <w:rPr>
          <w:sz w:val="28"/>
          <w:szCs w:val="28"/>
        </w:rPr>
        <w:t xml:space="preserve">, </w:t>
      </w:r>
      <w:r w:rsidR="007E0C68">
        <w:rPr>
          <w:sz w:val="28"/>
          <w:szCs w:val="28"/>
        </w:rPr>
        <w:t xml:space="preserve">на </w:t>
      </w:r>
      <w:r>
        <w:rPr>
          <w:sz w:val="28"/>
          <w:szCs w:val="28"/>
        </w:rPr>
        <w:t>автозаправочных станциях</w:t>
      </w:r>
      <w:r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возможны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последствия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П</w:t>
      </w:r>
      <w:r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Pr="000E2CE7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</w:t>
      </w:r>
      <w:r>
        <w:rPr>
          <w:sz w:val="28"/>
          <w:szCs w:val="28"/>
        </w:rPr>
        <w:t xml:space="preserve"> 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lastRenderedPageBreak/>
        <w:t>Продолжить проведение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-значимых мероприятий, </w:t>
      </w:r>
      <w:r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>
        <w:rPr>
          <w:sz w:val="28"/>
          <w:szCs w:val="28"/>
        </w:rPr>
        <w:t>кать</w:t>
      </w:r>
      <w:r w:rsidRPr="000E2CE7">
        <w:rPr>
          <w:sz w:val="28"/>
          <w:szCs w:val="28"/>
        </w:rPr>
        <w:t xml:space="preserve"> представителей общественных организаций, </w:t>
      </w:r>
      <w:r>
        <w:rPr>
          <w:sz w:val="28"/>
          <w:szCs w:val="28"/>
        </w:rPr>
        <w:t xml:space="preserve">СМИ, </w:t>
      </w:r>
      <w:r w:rsidRPr="000E2CE7">
        <w:rPr>
          <w:sz w:val="28"/>
          <w:szCs w:val="28"/>
        </w:rPr>
        <w:t>популярных блогеров, отряды юных инспекторов движения, волонтерские движения</w:t>
      </w:r>
      <w:r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>
        <w:rPr>
          <w:sz w:val="28"/>
          <w:szCs w:val="28"/>
        </w:rPr>
        <w:t>обслуживаемой</w:t>
      </w:r>
      <w:r>
        <w:rPr>
          <w:sz w:val="28"/>
          <w:szCs w:val="28"/>
        </w:rPr>
        <w:t xml:space="preserve"> территории (</w:t>
      </w:r>
      <w:r w:rsidR="00922D8B">
        <w:rPr>
          <w:sz w:val="28"/>
          <w:szCs w:val="28"/>
        </w:rPr>
        <w:t xml:space="preserve">место, </w:t>
      </w:r>
      <w:r>
        <w:rPr>
          <w:sz w:val="28"/>
          <w:szCs w:val="28"/>
        </w:rPr>
        <w:t>возраст участников дорожного движения, время совершения ДТП, дни недели и т.п.).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профилактическую работу в местах, которые посещают граждане: больницы, общепит, учреждения социальной политики, дополнительного образования, пенсионные фо</w:t>
      </w:r>
      <w:r w:rsidR="00C964F4">
        <w:rPr>
          <w:sz w:val="28"/>
          <w:szCs w:val="28"/>
        </w:rPr>
        <w:t>нды,</w:t>
      </w:r>
      <w:r w:rsidR="000E38D4">
        <w:rPr>
          <w:sz w:val="28"/>
          <w:szCs w:val="28"/>
        </w:rPr>
        <w:t xml:space="preserve"> почтовые отделения связи</w:t>
      </w:r>
      <w:r w:rsidR="00C964F4">
        <w:rPr>
          <w:sz w:val="28"/>
          <w:szCs w:val="28"/>
        </w:rPr>
        <w:t xml:space="preserve"> по размещению тематических материалов в </w:t>
      </w:r>
      <w:r w:rsidR="00A45170">
        <w:rPr>
          <w:sz w:val="28"/>
          <w:szCs w:val="28"/>
        </w:rPr>
        <w:t>информационны</w:t>
      </w:r>
      <w:r w:rsidR="00C964F4">
        <w:rPr>
          <w:sz w:val="28"/>
          <w:szCs w:val="28"/>
        </w:rPr>
        <w:t>х</w:t>
      </w:r>
      <w:r w:rsidR="00A45170">
        <w:rPr>
          <w:sz w:val="28"/>
          <w:szCs w:val="28"/>
        </w:rPr>
        <w:t xml:space="preserve"> стенд</w:t>
      </w:r>
      <w:r w:rsidR="00C964F4">
        <w:rPr>
          <w:sz w:val="28"/>
          <w:szCs w:val="28"/>
        </w:rPr>
        <w:t>ах</w:t>
      </w:r>
      <w:r>
        <w:rPr>
          <w:sz w:val="28"/>
          <w:szCs w:val="28"/>
        </w:rPr>
        <w:t>.</w:t>
      </w:r>
    </w:p>
    <w:p w:rsidR="00A45170" w:rsidRDefault="00A45170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Использовать возможности социальной рекламы </w:t>
      </w:r>
      <w:r w:rsidR="003D1D5D">
        <w:rPr>
          <w:sz w:val="28"/>
          <w:szCs w:val="28"/>
        </w:rPr>
        <w:t>по размещению аудио и видео</w:t>
      </w:r>
      <w:r>
        <w:rPr>
          <w:sz w:val="28"/>
          <w:szCs w:val="28"/>
        </w:rPr>
        <w:t>материалов</w:t>
      </w:r>
      <w:r w:rsidR="003D1D5D">
        <w:rPr>
          <w:sz w:val="28"/>
          <w:szCs w:val="28"/>
        </w:rPr>
        <w:t xml:space="preserve"> по БДД</w:t>
      </w:r>
      <w:r>
        <w:rPr>
          <w:sz w:val="28"/>
          <w:szCs w:val="28"/>
        </w:rPr>
        <w:t xml:space="preserve"> на экранах и радиоточках различных организаций и предприятий</w:t>
      </w:r>
      <w:r w:rsidR="003D1D5D">
        <w:rPr>
          <w:sz w:val="28"/>
          <w:szCs w:val="28"/>
        </w:rPr>
        <w:t>, щитах</w:t>
      </w:r>
      <w:r>
        <w:rPr>
          <w:sz w:val="28"/>
          <w:szCs w:val="28"/>
        </w:rPr>
        <w:t>.</w:t>
      </w:r>
    </w:p>
    <w:p w:rsidR="00A45170" w:rsidRPr="000E2CE7" w:rsidRDefault="00A45170" w:rsidP="00E252EF">
      <w:pPr>
        <w:ind w:left="-709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Вопросы детского дорожно-транспортного травматизма и аварийности в </w:t>
      </w:r>
      <w:r w:rsidR="003449C4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 ДТП с участием детей.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E252EF" w:rsidRPr="004F7809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914" w:rsidRDefault="00AD1914" w:rsidP="00874A55">
      <w:r>
        <w:separator/>
      </w:r>
    </w:p>
  </w:endnote>
  <w:endnote w:type="continuationSeparator" w:id="0">
    <w:p w:rsidR="00AD1914" w:rsidRDefault="00AD1914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914" w:rsidRDefault="00AD1914" w:rsidP="00874A55">
      <w:r>
        <w:separator/>
      </w:r>
    </w:p>
  </w:footnote>
  <w:footnote w:type="continuationSeparator" w:id="0">
    <w:p w:rsidR="00AD1914" w:rsidRDefault="00AD1914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D9D">
          <w:rPr>
            <w:noProof/>
          </w:rPr>
          <w:t>11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4DD7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56129"/>
    <w:rsid w:val="00160162"/>
    <w:rsid w:val="00160476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140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629F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07B49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987"/>
    <w:rsid w:val="004A4AEF"/>
    <w:rsid w:val="004A5574"/>
    <w:rsid w:val="004A6100"/>
    <w:rsid w:val="004A7F54"/>
    <w:rsid w:val="004B1184"/>
    <w:rsid w:val="004B35BB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5D92"/>
    <w:rsid w:val="006263E5"/>
    <w:rsid w:val="00627155"/>
    <w:rsid w:val="00632759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97C17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2E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71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1F61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180C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1765"/>
    <w:rsid w:val="00864FB6"/>
    <w:rsid w:val="00865603"/>
    <w:rsid w:val="0086620B"/>
    <w:rsid w:val="00866DAA"/>
    <w:rsid w:val="00866F2C"/>
    <w:rsid w:val="0086783C"/>
    <w:rsid w:val="008713EF"/>
    <w:rsid w:val="00873144"/>
    <w:rsid w:val="00874A55"/>
    <w:rsid w:val="00880D00"/>
    <w:rsid w:val="00881898"/>
    <w:rsid w:val="00886639"/>
    <w:rsid w:val="0089057A"/>
    <w:rsid w:val="00890722"/>
    <w:rsid w:val="00891172"/>
    <w:rsid w:val="00892268"/>
    <w:rsid w:val="00894921"/>
    <w:rsid w:val="00895402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20FB"/>
    <w:rsid w:val="0091410E"/>
    <w:rsid w:val="00914909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124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1914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040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5AE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724F"/>
    <w:rsid w:val="00C905A7"/>
    <w:rsid w:val="00C93028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1350"/>
    <w:rsid w:val="00CC4558"/>
    <w:rsid w:val="00CC6D66"/>
    <w:rsid w:val="00CD0E13"/>
    <w:rsid w:val="00CD195E"/>
    <w:rsid w:val="00CD2B8B"/>
    <w:rsid w:val="00CD3204"/>
    <w:rsid w:val="00CD410C"/>
    <w:rsid w:val="00CD5C18"/>
    <w:rsid w:val="00CD664D"/>
    <w:rsid w:val="00CD7694"/>
    <w:rsid w:val="00CD7784"/>
    <w:rsid w:val="00CE0599"/>
    <w:rsid w:val="00CE2D9D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AC4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3FBB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0A16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0166"/>
    <w:rsid w:val="00E81B42"/>
    <w:rsid w:val="00E831F7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5AF5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0B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305</c:v>
                </c:pt>
                <c:pt idx="1">
                  <c:v>21</c:v>
                </c:pt>
                <c:pt idx="2">
                  <c:v>319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272</c:v>
                </c:pt>
                <c:pt idx="1">
                  <c:v>12</c:v>
                </c:pt>
                <c:pt idx="2">
                  <c:v>305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4611736"/>
        <c:axId val="274611344"/>
        <c:axId val="0"/>
      </c:bar3DChart>
      <c:catAx>
        <c:axId val="274611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611344"/>
        <c:crosses val="autoZero"/>
        <c:auto val="1"/>
        <c:lblAlgn val="ctr"/>
        <c:lblOffset val="100"/>
        <c:noMultiLvlLbl val="0"/>
      </c:catAx>
      <c:valAx>
        <c:axId val="274611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611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4721737369035761E-2"/>
          <c:y val="1.3844304653874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44"/>
                  <c:y val="-9.99851783232978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121</c:v>
                </c:pt>
                <c:pt idx="1">
                  <c:v>106</c:v>
                </c:pt>
                <c:pt idx="2">
                  <c:v>35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8"/>
          <c:y val="1.926239582589940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73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13E-2"/>
                  <c:y val="-2.17027856412208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15E-2"/>
                  <c:y val="-7.91477349319250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283E-2"/>
                  <c:y val="2.66539794308188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7.1809364346698046E-2"/>
                  <c:y val="5.33577562623403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852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1"/>
                  <c:y val="-0.147849751409472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76E-2"/>
                  <c:y val="-4.8679338043469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9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763E-2"/>
                  <c:y val="-0.1297786870296802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4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9</c:v>
                </c:pt>
                <c:pt idx="21">
                  <c:v>1</c:v>
                </c:pt>
                <c:pt idx="22">
                  <c:v>47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Талицкий</c:v>
                </c:pt>
                <c:pt idx="3">
                  <c:v>Невьянский</c:v>
                </c:pt>
                <c:pt idx="4">
                  <c:v>Кушва</c:v>
                </c:pt>
                <c:pt idx="5">
                  <c:v>Алапаевский</c:v>
                </c:pt>
                <c:pt idx="6">
                  <c:v>Артемовский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  <c:pt idx="7">
                  <c:v>5</c:v>
                </c:pt>
                <c:pt idx="8">
                  <c:v>14</c:v>
                </c:pt>
                <c:pt idx="9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Талицкий</c:v>
                </c:pt>
                <c:pt idx="3">
                  <c:v>Невьянский</c:v>
                </c:pt>
                <c:pt idx="4">
                  <c:v>Кушва</c:v>
                </c:pt>
                <c:pt idx="5">
                  <c:v>Алапаевский</c:v>
                </c:pt>
                <c:pt idx="6">
                  <c:v>Артемовский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12</c:v>
                </c:pt>
                <c:pt idx="8">
                  <c:v>19</c:v>
                </c:pt>
                <c:pt idx="9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01137712"/>
        <c:axId val="501138496"/>
      </c:barChart>
      <c:valAx>
        <c:axId val="5011384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137712"/>
        <c:crosses val="autoZero"/>
        <c:crossBetween val="between"/>
      </c:valAx>
      <c:catAx>
        <c:axId val="5011377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1384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65</c:v>
                </c:pt>
                <c:pt idx="1">
                  <c:v>103</c:v>
                </c:pt>
                <c:pt idx="2">
                  <c:v>149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196</c:v>
                </c:pt>
                <c:pt idx="1">
                  <c:v>121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178</c:v>
                </c:pt>
                <c:pt idx="1">
                  <c:v>72</c:v>
                </c:pt>
                <c:pt idx="2">
                  <c:v>15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195</c:v>
                </c:pt>
                <c:pt idx="1">
                  <c:v>84</c:v>
                </c:pt>
                <c:pt idx="2">
                  <c:v>19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1140848"/>
        <c:axId val="501138888"/>
      </c:barChart>
      <c:catAx>
        <c:axId val="501140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138888"/>
        <c:crosses val="autoZero"/>
        <c:auto val="1"/>
        <c:lblAlgn val="ctr"/>
        <c:lblOffset val="100"/>
        <c:noMultiLvlLbl val="0"/>
      </c:catAx>
      <c:valAx>
        <c:axId val="501138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140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19</c:v>
                </c:pt>
                <c:pt idx="2">
                  <c:v>28</c:v>
                </c:pt>
                <c:pt idx="3">
                  <c:v>46</c:v>
                </c:pt>
                <c:pt idx="4">
                  <c:v>77</c:v>
                </c:pt>
                <c:pt idx="5">
                  <c:v>70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20</c:v>
                </c:pt>
                <c:pt idx="2">
                  <c:v>32</c:v>
                </c:pt>
                <c:pt idx="3">
                  <c:v>50</c:v>
                </c:pt>
                <c:pt idx="4">
                  <c:v>83</c:v>
                </c:pt>
                <c:pt idx="5">
                  <c:v>81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1139280"/>
        <c:axId val="281485688"/>
      </c:barChart>
      <c:catAx>
        <c:axId val="50113928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1485688"/>
        <c:crosses val="autoZero"/>
        <c:auto val="1"/>
        <c:lblAlgn val="ctr"/>
        <c:lblOffset val="100"/>
        <c:tickLblSkip val="1"/>
        <c:noMultiLvlLbl val="0"/>
      </c:catAx>
      <c:valAx>
        <c:axId val="281485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139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38</c:v>
                </c:pt>
                <c:pt idx="1">
                  <c:v>38</c:v>
                </c:pt>
                <c:pt idx="2">
                  <c:v>44</c:v>
                </c:pt>
                <c:pt idx="3">
                  <c:v>48</c:v>
                </c:pt>
                <c:pt idx="4">
                  <c:v>44</c:v>
                </c:pt>
                <c:pt idx="5">
                  <c:v>27</c:v>
                </c:pt>
                <c:pt idx="6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42</c:v>
                </c:pt>
                <c:pt idx="1">
                  <c:v>40</c:v>
                </c:pt>
                <c:pt idx="2">
                  <c:v>51</c:v>
                </c:pt>
                <c:pt idx="3">
                  <c:v>53</c:v>
                </c:pt>
                <c:pt idx="4">
                  <c:v>46</c:v>
                </c:pt>
                <c:pt idx="5">
                  <c:v>32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00743536"/>
        <c:axId val="500745104"/>
      </c:barChart>
      <c:catAx>
        <c:axId val="50074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0745104"/>
        <c:crosses val="autoZero"/>
        <c:auto val="1"/>
        <c:lblAlgn val="ctr"/>
        <c:lblOffset val="100"/>
        <c:noMultiLvlLbl val="0"/>
      </c:catAx>
      <c:valAx>
        <c:axId val="500745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0743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102</c:v>
                </c:pt>
                <c:pt idx="1">
                  <c:v>103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36</c:v>
                </c:pt>
                <c:pt idx="6">
                  <c:v>3</c:v>
                </c:pt>
                <c:pt idx="7">
                  <c:v>13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27</c:v>
                </c:pt>
                <c:pt idx="2">
                  <c:v>55</c:v>
                </c:pt>
                <c:pt idx="3">
                  <c:v>197</c:v>
                </c:pt>
                <c:pt idx="4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01255600"/>
        <c:axId val="501255992"/>
      </c:barChart>
      <c:catAx>
        <c:axId val="501255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255992"/>
        <c:crosses val="autoZero"/>
        <c:auto val="1"/>
        <c:lblAlgn val="ctr"/>
        <c:lblOffset val="100"/>
        <c:noMultiLvlLbl val="0"/>
      </c:catAx>
      <c:valAx>
        <c:axId val="501255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1255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3F1C2-46B8-4610-8656-A6A78C40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3636</Words>
  <Characters>20727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2021-02-11T05:26:00Z</cp:lastPrinted>
  <dcterms:created xsi:type="dcterms:W3CDTF">2022-11-16T04:33:00Z</dcterms:created>
  <dcterms:modified xsi:type="dcterms:W3CDTF">2022-11-16T04:33:00Z</dcterms:modified>
</cp:coreProperties>
</file>